
<file path=[Content_Types].xml><?xml version="1.0" encoding="utf-8"?>
<Types xmlns="http://schemas.openxmlformats.org/package/2006/content-types">
  <Default Extension="png" ContentType="image/pn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cs="黑体"/>
          <w:kern w:val="0"/>
          <w:sz w:val="32"/>
          <w:szCs w:val="32"/>
        </w:rPr>
      </w:pPr>
      <w:r>
        <w:rPr>
          <w:rStyle w:val="16"/>
          <w:rFonts w:hint="eastAsia" w:ascii="Arial" w:hAnsi="Arial" w:cs="Arial"/>
          <w:color w:val="000000"/>
          <w:sz w:val="32"/>
          <w:szCs w:val="32"/>
          <w:lang w:bidi="ar-SA"/>
        </w:rPr>
        <w:t>食品药化类专业培养计划</w:t>
      </w:r>
    </w:p>
    <w:p>
      <w:pPr>
        <w:autoSpaceDE w:val="0"/>
        <w:autoSpaceDN w:val="0"/>
        <w:adjustRightInd w:val="0"/>
        <w:spacing w:line="360" w:lineRule="auto"/>
        <w:jc w:val="left"/>
        <w:rPr>
          <w:rFonts w:ascii="宋体" w:hAnsi="宋体"/>
          <w:b/>
          <w:sz w:val="24"/>
        </w:rPr>
      </w:pPr>
    </w:p>
    <w:p>
      <w:pPr>
        <w:spacing w:line="360" w:lineRule="auto"/>
        <w:rPr>
          <w:rStyle w:val="16"/>
          <w:rFonts w:ascii="Arial" w:hAnsi="Arial" w:cs="Arial"/>
          <w:bCs w:val="0"/>
          <w:color w:val="000000"/>
          <w:sz w:val="24"/>
          <w:szCs w:val="24"/>
        </w:rPr>
      </w:pPr>
      <w:r>
        <w:rPr>
          <w:rStyle w:val="16"/>
          <w:rFonts w:hint="eastAsia" w:ascii="Arial" w:hAnsi="Arial" w:cs="Arial"/>
          <w:bCs w:val="0"/>
          <w:color w:val="000000"/>
          <w:sz w:val="24"/>
          <w:szCs w:val="24"/>
        </w:rPr>
        <w:t>一、培养目标、</w:t>
      </w:r>
      <w:r>
        <w:rPr>
          <w:rStyle w:val="16"/>
          <w:rFonts w:hint="eastAsia" w:ascii="Arial" w:hAnsi="Arial" w:cs="Arial"/>
          <w:color w:val="000000"/>
          <w:sz w:val="24"/>
          <w:szCs w:val="24"/>
        </w:rPr>
        <w:t>国际认证标准</w:t>
      </w:r>
      <w:r>
        <w:rPr>
          <w:rStyle w:val="16"/>
          <w:rFonts w:hint="eastAsia" w:ascii="Arial" w:hAnsi="Arial" w:cs="Arial"/>
          <w:bCs w:val="0"/>
          <w:color w:val="000000"/>
          <w:sz w:val="24"/>
          <w:szCs w:val="24"/>
        </w:rPr>
        <w:t>（</w:t>
      </w:r>
      <w:r>
        <w:rPr>
          <w:rFonts w:hint="eastAsia" w:ascii="Arial" w:hAnsi="Arial" w:cs="Arial"/>
          <w:b/>
          <w:bCs/>
          <w:sz w:val="24"/>
        </w:rPr>
        <w:t>Objectives、</w:t>
      </w:r>
      <w:r>
        <w:rPr>
          <w:rFonts w:ascii="Arial" w:hAnsi="Arial" w:cs="Arial"/>
          <w:b/>
          <w:bCs/>
          <w:sz w:val="24"/>
        </w:rPr>
        <w:t>International Certification Standards</w:t>
      </w:r>
      <w:r>
        <w:rPr>
          <w:rStyle w:val="16"/>
          <w:rFonts w:hint="eastAsia" w:ascii="Arial" w:hAnsi="Arial" w:cs="Arial"/>
          <w:bCs w:val="0"/>
          <w:color w:val="000000"/>
          <w:sz w:val="24"/>
          <w:szCs w:val="24"/>
        </w:rPr>
        <w:t>）：</w:t>
      </w:r>
    </w:p>
    <w:p>
      <w:pPr>
        <w:autoSpaceDE w:val="0"/>
        <w:autoSpaceDN w:val="0"/>
        <w:adjustRightInd w:val="0"/>
        <w:spacing w:line="360" w:lineRule="auto"/>
        <w:ind w:firstLine="480" w:firstLineChars="200"/>
        <w:jc w:val="left"/>
        <w:rPr>
          <w:rFonts w:ascii="宋体" w:hAnsi="宋体"/>
          <w:bCs/>
          <w:sz w:val="24"/>
        </w:rPr>
      </w:pPr>
      <w:r>
        <w:rPr>
          <w:rFonts w:hint="eastAsia" w:ascii="Arial" w:hAnsi="宋体" w:cs="宋体"/>
          <w:kern w:val="0"/>
          <w:sz w:val="24"/>
        </w:rPr>
        <w:t>本专业培养具有良好的人文素质、扎实的食品、药学及化工基本理论、基础知识和实践能力，具备分析、解决复杂问题的能力，能够在药学及食品、化工等相关行业从事研究、技术开发、质量控制、工艺改造、生产组织、管理与服务，成为具备跨岗位适应能力的并具有创新精神、国际化视野以及汉语言优势的国际技术人才；同时</w:t>
      </w:r>
      <w:r>
        <w:rPr>
          <w:rFonts w:hint="eastAsia" w:ascii="宋体" w:hAnsi="宋体"/>
          <w:bCs/>
          <w:sz w:val="24"/>
        </w:rPr>
        <w:t>兼顾面向国家“一带一路”倡议，培养</w:t>
      </w:r>
      <w:r>
        <w:rPr>
          <w:rFonts w:hint="eastAsia" w:ascii="Arial" w:hAnsi="宋体" w:cs="宋体"/>
          <w:kern w:val="0"/>
          <w:sz w:val="24"/>
        </w:rPr>
        <w:t>知华、友华、爱华与建华</w:t>
      </w:r>
      <w:r>
        <w:rPr>
          <w:rFonts w:hint="eastAsia" w:ascii="宋体" w:hAnsi="宋体"/>
          <w:bCs/>
          <w:sz w:val="24"/>
        </w:rPr>
        <w:t>的具备专业技能的国际人才，能够成为中国与所在国之间的食品、药品及化工企业合作桥梁与纽带的复合型、应用型创新创业实践人才。</w:t>
      </w:r>
    </w:p>
    <w:p>
      <w:pPr>
        <w:ind w:firstLine="480" w:firstLineChars="200"/>
        <w:rPr>
          <w:rFonts w:cs="Times New Roman"/>
          <w:sz w:val="24"/>
        </w:rPr>
      </w:pPr>
      <w:r>
        <w:rPr>
          <w:rFonts w:cs="Times New Roman"/>
          <w:sz w:val="24"/>
        </w:rPr>
        <w:t>This major will culture professionals with good humanistic and social scientific literacy. These professionals will adapt to social and economic development requirement and national food industry development needs. Moreover, these professionals will also have basic theories, knowledge, and skills about natural science, and the ability to study and design new products, processes and technologies. Furthermore, these professionals will meet the requirements of the food industry to knowledge, capabilities and literacy. They will also have the ability to work in food industry and related fields engaging in product development, scientific research, engineering design, production technology management, quality inspection and quality control.</w:t>
      </w:r>
      <w:bookmarkStart w:id="0" w:name="_GoBack"/>
      <w:bookmarkEnd w:id="0"/>
    </w:p>
    <w:p>
      <w:pPr>
        <w:autoSpaceDE w:val="0"/>
        <w:autoSpaceDN w:val="0"/>
        <w:adjustRightInd w:val="0"/>
        <w:spacing w:line="360" w:lineRule="auto"/>
        <w:ind w:firstLine="480" w:firstLineChars="200"/>
        <w:jc w:val="left"/>
        <w:rPr>
          <w:rFonts w:ascii="Arial" w:hAnsi="Arial" w:cs="宋体"/>
          <w:kern w:val="0"/>
          <w:sz w:val="24"/>
        </w:rPr>
      </w:pPr>
    </w:p>
    <w:p>
      <w:pPr>
        <w:spacing w:line="360" w:lineRule="auto"/>
        <w:rPr>
          <w:rStyle w:val="16"/>
          <w:rFonts w:ascii="Arial" w:hAnsi="Arial" w:cs="Arial"/>
          <w:bCs w:val="0"/>
          <w:color w:val="000000"/>
          <w:sz w:val="24"/>
          <w:szCs w:val="24"/>
        </w:rPr>
      </w:pPr>
      <w:r>
        <w:rPr>
          <w:rStyle w:val="16"/>
          <w:rFonts w:hint="eastAsia" w:ascii="Arial" w:hAnsi="Arial" w:cs="Arial"/>
          <w:bCs w:val="0"/>
          <w:color w:val="000000"/>
          <w:sz w:val="24"/>
          <w:szCs w:val="24"/>
        </w:rPr>
        <w:t xml:space="preserve">二、毕业要求（Graduation </w:t>
      </w:r>
      <w:r>
        <w:rPr>
          <w:rFonts w:ascii="Arial" w:hAnsi="Arial" w:cs="Arial"/>
          <w:b/>
          <w:bCs/>
          <w:sz w:val="24"/>
        </w:rPr>
        <w:t>Requirement</w:t>
      </w:r>
      <w:r>
        <w:rPr>
          <w:rFonts w:hint="eastAsia" w:ascii="Arial" w:hAnsi="Arial" w:cs="Arial"/>
          <w:b/>
          <w:bCs/>
          <w:sz w:val="24"/>
        </w:rPr>
        <w:t>s</w:t>
      </w:r>
      <w:r>
        <w:rPr>
          <w:rStyle w:val="16"/>
          <w:rFonts w:hint="eastAsia" w:ascii="Arial" w:hAnsi="Arial" w:cs="Arial"/>
          <w:bCs w:val="0"/>
          <w:color w:val="000000"/>
          <w:sz w:val="24"/>
          <w:szCs w:val="24"/>
        </w:rPr>
        <w:t>）：</w:t>
      </w:r>
    </w:p>
    <w:p>
      <w:pPr>
        <w:autoSpaceDE w:val="0"/>
        <w:autoSpaceDN w:val="0"/>
        <w:adjustRightInd w:val="0"/>
        <w:spacing w:line="360" w:lineRule="auto"/>
        <w:ind w:firstLine="480" w:firstLineChars="200"/>
        <w:jc w:val="left"/>
        <w:rPr>
          <w:rFonts w:ascii="宋体" w:hAnsi="Arial" w:cs="宋体"/>
          <w:kern w:val="0"/>
          <w:sz w:val="24"/>
        </w:rPr>
      </w:pPr>
      <w:r>
        <w:rPr>
          <w:rFonts w:hint="eastAsia" w:ascii="宋体" w:hAnsi="宋体" w:cs="宋体"/>
          <w:kern w:val="0"/>
          <w:sz w:val="24"/>
        </w:rPr>
        <w:t>本专业以</w:t>
      </w:r>
      <w:r>
        <w:rPr>
          <w:rFonts w:ascii="宋体" w:hAnsi="宋体" w:cs="宋体"/>
          <w:kern w:val="0"/>
          <w:sz w:val="24"/>
        </w:rPr>
        <w:t>食品</w:t>
      </w:r>
      <w:r>
        <w:rPr>
          <w:rFonts w:hint="eastAsia" w:ascii="宋体" w:hAnsi="宋体" w:cs="宋体"/>
          <w:kern w:val="0"/>
          <w:sz w:val="24"/>
        </w:rPr>
        <w:t>、</w:t>
      </w:r>
      <w:r>
        <w:rPr>
          <w:rFonts w:ascii="宋体" w:hAnsi="宋体" w:cs="宋体"/>
          <w:kern w:val="0"/>
          <w:sz w:val="24"/>
        </w:rPr>
        <w:t>药学、化学</w:t>
      </w:r>
      <w:r>
        <w:rPr>
          <w:rFonts w:hint="eastAsia" w:ascii="宋体" w:hAnsi="宋体" w:cs="宋体"/>
          <w:kern w:val="0"/>
          <w:sz w:val="24"/>
        </w:rPr>
        <w:t>为主干学科，采取宽口径厚基础人才培养计划，突出兼顾多学科特色，坚持知识、能力、素质和个性协调发展，</w:t>
      </w:r>
      <w:r>
        <w:rPr>
          <w:rFonts w:hint="eastAsia" w:ascii="宋体" w:hAnsi="宋体"/>
          <w:bCs/>
          <w:sz w:val="24"/>
        </w:rPr>
        <w:t>培养</w:t>
      </w:r>
      <w:r>
        <w:rPr>
          <w:rFonts w:hint="eastAsia" w:ascii="Arial" w:hAnsi="宋体" w:cs="宋体"/>
          <w:kern w:val="0"/>
          <w:sz w:val="24"/>
        </w:rPr>
        <w:t>知华、友华、爱华与建华</w:t>
      </w:r>
      <w:r>
        <w:rPr>
          <w:rFonts w:hint="eastAsia" w:ascii="宋体" w:hAnsi="宋体"/>
          <w:bCs/>
          <w:sz w:val="24"/>
        </w:rPr>
        <w:t>的具备专业技能的国际人才，</w:t>
      </w:r>
      <w:r>
        <w:rPr>
          <w:rFonts w:hint="eastAsia" w:ascii="宋体" w:hAnsi="宋体" w:cs="宋体"/>
          <w:kern w:val="0"/>
          <w:sz w:val="24"/>
        </w:rPr>
        <w:t>学生毕业时应达到以下要求：</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 New Roman"/>
          <w:sz w:val="24"/>
          <w:lang w:bidi="ar-SA"/>
        </w:rPr>
        <w:t>毕业要求</w:t>
      </w:r>
      <w:r>
        <w:rPr>
          <w:rFonts w:hint="eastAsia" w:ascii="宋体" w:hAnsi="宋体" w:cs="Times New Roman"/>
          <w:sz w:val="24"/>
          <w:lang w:bidi="ar-SA"/>
        </w:rPr>
        <w:t xml:space="preserve"> </w:t>
      </w:r>
      <w:r>
        <w:rPr>
          <w:rFonts w:ascii="宋体" w:hAnsi="宋体" w:cs="Times New Roman"/>
          <w:b/>
          <w:sz w:val="24"/>
          <w:lang w:bidi="ar-SA"/>
        </w:rPr>
        <w:t>1-</w:t>
      </w:r>
      <w:r>
        <w:rPr>
          <w:rFonts w:hint="eastAsia" w:ascii="宋体" w:hAnsi="宋体" w:cs="宋体"/>
          <w:b/>
          <w:kern w:val="0"/>
          <w:sz w:val="24"/>
        </w:rPr>
        <w:t>领域</w:t>
      </w:r>
      <w:r>
        <w:rPr>
          <w:rFonts w:ascii="宋体" w:hAnsi="宋体" w:cs="宋体"/>
          <w:b/>
          <w:kern w:val="0"/>
          <w:sz w:val="24"/>
        </w:rPr>
        <w:t>知识：</w:t>
      </w:r>
      <w:r>
        <w:rPr>
          <w:rFonts w:ascii="宋体" w:hAnsi="宋体" w:cs="宋体"/>
          <w:kern w:val="0"/>
          <w:sz w:val="24"/>
        </w:rPr>
        <w:t>能够将数学、自然科学、工程基础和化学、药学</w:t>
      </w:r>
      <w:r>
        <w:rPr>
          <w:rFonts w:hint="eastAsia" w:ascii="宋体" w:hAnsi="宋体" w:cs="宋体"/>
          <w:kern w:val="0"/>
          <w:sz w:val="24"/>
        </w:rPr>
        <w:t>、</w:t>
      </w:r>
      <w:r>
        <w:rPr>
          <w:rFonts w:ascii="宋体" w:hAnsi="宋体" w:cs="宋体"/>
          <w:kern w:val="0"/>
          <w:sz w:val="24"/>
        </w:rPr>
        <w:t>食品专业知识用于解决复杂的</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学领域</w:t>
      </w:r>
      <w:r>
        <w:rPr>
          <w:rFonts w:ascii="宋体" w:hAnsi="宋体" w:cs="宋体"/>
          <w:kern w:val="0"/>
          <w:sz w:val="24"/>
        </w:rPr>
        <w:t>问题；</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2-</w:t>
      </w:r>
      <w:r>
        <w:rPr>
          <w:rFonts w:ascii="宋体" w:hAnsi="宋体" w:cs="宋体"/>
          <w:b/>
          <w:kern w:val="0"/>
          <w:sz w:val="24"/>
        </w:rPr>
        <w:t>问题分析：</w:t>
      </w:r>
      <w:r>
        <w:rPr>
          <w:rFonts w:ascii="宋体" w:hAnsi="宋体" w:cs="宋体"/>
          <w:kern w:val="0"/>
          <w:sz w:val="24"/>
        </w:rPr>
        <w:t>能够应用数学、自然科学和</w:t>
      </w:r>
      <w:r>
        <w:rPr>
          <w:rFonts w:hint="eastAsia" w:ascii="宋体" w:hAnsi="宋体" w:cs="宋体"/>
          <w:kern w:val="0"/>
          <w:sz w:val="24"/>
        </w:rPr>
        <w:t>工程</w:t>
      </w:r>
      <w:r>
        <w:rPr>
          <w:rFonts w:ascii="宋体" w:hAnsi="宋体" w:cs="宋体"/>
          <w:kern w:val="0"/>
          <w:sz w:val="24"/>
        </w:rPr>
        <w:t>基本原理，识别、表达、并通过文献研究分析复杂</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学领域</w:t>
      </w:r>
      <w:r>
        <w:rPr>
          <w:rFonts w:ascii="宋体" w:hAnsi="宋体" w:cs="宋体"/>
          <w:kern w:val="0"/>
          <w:sz w:val="24"/>
        </w:rPr>
        <w:t xml:space="preserve">问题，以获得有效结论； </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3-</w:t>
      </w:r>
      <w:r>
        <w:rPr>
          <w:rFonts w:ascii="宋体" w:hAnsi="宋体" w:cs="宋体"/>
          <w:b/>
          <w:kern w:val="0"/>
          <w:sz w:val="24"/>
        </w:rPr>
        <w:t>设计</w:t>
      </w:r>
      <w:r>
        <w:rPr>
          <w:rFonts w:ascii="宋体" w:hAnsi="宋体" w:cs="TimesNewRomanPS-BoldMT"/>
          <w:b/>
          <w:bCs/>
          <w:kern w:val="0"/>
          <w:sz w:val="24"/>
        </w:rPr>
        <w:t>/</w:t>
      </w:r>
      <w:r>
        <w:rPr>
          <w:rFonts w:ascii="宋体" w:hAnsi="宋体" w:cs="宋体"/>
          <w:b/>
          <w:kern w:val="0"/>
          <w:sz w:val="24"/>
        </w:rPr>
        <w:t>开发解决方案：</w:t>
      </w:r>
      <w:r>
        <w:rPr>
          <w:rFonts w:ascii="宋体" w:hAnsi="宋体" w:cs="宋体"/>
          <w:kern w:val="0"/>
          <w:sz w:val="24"/>
        </w:rPr>
        <w:t>能够针对</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学领域</w:t>
      </w:r>
      <w:r>
        <w:rPr>
          <w:rFonts w:ascii="宋体" w:hAnsi="宋体" w:cs="宋体"/>
          <w:kern w:val="0"/>
          <w:sz w:val="24"/>
        </w:rPr>
        <w:t>的复杂问题选择适用的工艺或设备，或具备设计满足</w:t>
      </w:r>
      <w:r>
        <w:rPr>
          <w:rFonts w:hint="eastAsia" w:ascii="宋体" w:hAnsi="宋体" w:cs="宋体"/>
          <w:kern w:val="0"/>
          <w:sz w:val="24"/>
        </w:rPr>
        <w:t>特定需求的系统、单元（部件）或工艺流程</w:t>
      </w:r>
      <w:r>
        <w:rPr>
          <w:rFonts w:ascii="宋体" w:hAnsi="宋体" w:cs="宋体"/>
          <w:kern w:val="0"/>
          <w:sz w:val="24"/>
        </w:rPr>
        <w:t>的初步能力，在设计环节中能够体现创新意识，考虑社会、健康、安全、法律、文化以及环境等因素；</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4-</w:t>
      </w:r>
      <w:r>
        <w:rPr>
          <w:rFonts w:ascii="宋体" w:hAnsi="宋体" w:cs="宋体"/>
          <w:b/>
          <w:kern w:val="0"/>
          <w:sz w:val="24"/>
        </w:rPr>
        <w:t>研究：</w:t>
      </w:r>
      <w:r>
        <w:rPr>
          <w:rFonts w:ascii="宋体" w:hAnsi="宋体" w:cs="宋体"/>
          <w:kern w:val="0"/>
          <w:sz w:val="24"/>
        </w:rPr>
        <w:t>能够基于科学原理并采用科学方法对</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学领域</w:t>
      </w:r>
      <w:r>
        <w:rPr>
          <w:rFonts w:ascii="宋体" w:hAnsi="宋体" w:cs="宋体"/>
          <w:kern w:val="0"/>
          <w:sz w:val="24"/>
        </w:rPr>
        <w:t>问题进行研究，包括设计实验、分析与解释数据、并通过信息综合得到合理有效的结论；</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5-</w:t>
      </w:r>
      <w:r>
        <w:rPr>
          <w:rFonts w:ascii="宋体" w:hAnsi="宋体" w:cs="宋体"/>
          <w:b/>
          <w:kern w:val="0"/>
          <w:sz w:val="24"/>
        </w:rPr>
        <w:t>使用现代工具：</w:t>
      </w:r>
      <w:r>
        <w:rPr>
          <w:rFonts w:ascii="宋体" w:hAnsi="宋体" w:cs="宋体"/>
          <w:kern w:val="0"/>
          <w:sz w:val="24"/>
        </w:rPr>
        <w:t>能够针对</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学领域</w:t>
      </w:r>
      <w:r>
        <w:rPr>
          <w:rFonts w:ascii="宋体" w:hAnsi="宋体" w:cs="宋体"/>
          <w:kern w:val="0"/>
          <w:sz w:val="24"/>
        </w:rPr>
        <w:t>相关复杂工程问题，开发、选择与使用恰当的技术、资源、现代工程工具和信息技术工具，包括对复杂</w:t>
      </w:r>
      <w:r>
        <w:rPr>
          <w:rFonts w:hint="eastAsia" w:ascii="宋体" w:hAnsi="宋体" w:cs="宋体"/>
          <w:kern w:val="0"/>
          <w:sz w:val="24"/>
        </w:rPr>
        <w:t>工程问题</w:t>
      </w:r>
      <w:r>
        <w:rPr>
          <w:rFonts w:ascii="宋体" w:hAnsi="宋体" w:cs="宋体"/>
          <w:kern w:val="0"/>
          <w:sz w:val="24"/>
        </w:rPr>
        <w:t>的预测与模拟，并能够理解其适用范围；</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6-</w:t>
      </w:r>
      <w:r>
        <w:rPr>
          <w:rFonts w:ascii="宋体" w:hAnsi="宋体" w:cs="宋体"/>
          <w:b/>
          <w:kern w:val="0"/>
          <w:sz w:val="24"/>
        </w:rPr>
        <w:t>社会</w:t>
      </w:r>
      <w:r>
        <w:rPr>
          <w:rFonts w:hint="eastAsia" w:ascii="宋体" w:hAnsi="宋体" w:cs="宋体"/>
          <w:b/>
          <w:kern w:val="0"/>
          <w:sz w:val="24"/>
        </w:rPr>
        <w:t>责任</w:t>
      </w:r>
      <w:r>
        <w:rPr>
          <w:rFonts w:ascii="宋体" w:hAnsi="宋体" w:cs="宋体"/>
          <w:b/>
          <w:kern w:val="0"/>
          <w:sz w:val="24"/>
        </w:rPr>
        <w:t>：</w:t>
      </w:r>
      <w:r>
        <w:rPr>
          <w:rFonts w:ascii="宋体" w:hAnsi="宋体" w:cs="宋体"/>
          <w:kern w:val="0"/>
          <w:sz w:val="24"/>
        </w:rPr>
        <w:t>能够基于</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w:t>
      </w:r>
      <w:r>
        <w:rPr>
          <w:rFonts w:ascii="宋体" w:hAnsi="宋体" w:cs="宋体"/>
          <w:kern w:val="0"/>
          <w:sz w:val="24"/>
        </w:rPr>
        <w:t>相关背景知识进行合理分析，评价</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w:t>
      </w:r>
      <w:r>
        <w:rPr>
          <w:rFonts w:ascii="宋体" w:hAnsi="宋体" w:cs="宋体"/>
          <w:kern w:val="0"/>
          <w:sz w:val="24"/>
        </w:rPr>
        <w:t>专业实践问题</w:t>
      </w:r>
      <w:r>
        <w:rPr>
          <w:rFonts w:hint="eastAsia" w:ascii="宋体" w:hAnsi="宋体" w:cs="宋体"/>
          <w:kern w:val="0"/>
          <w:sz w:val="24"/>
        </w:rPr>
        <w:t>的</w:t>
      </w:r>
      <w:r>
        <w:rPr>
          <w:rFonts w:ascii="宋体" w:hAnsi="宋体" w:cs="宋体"/>
          <w:kern w:val="0"/>
          <w:sz w:val="24"/>
        </w:rPr>
        <w:t>解决方案对社会、健康、安全、法律以及文化的影响，并理解应承担的责任；</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7-</w:t>
      </w:r>
      <w:r>
        <w:rPr>
          <w:rFonts w:ascii="宋体" w:hAnsi="宋体" w:cs="宋体"/>
          <w:b/>
          <w:kern w:val="0"/>
          <w:sz w:val="24"/>
        </w:rPr>
        <w:t>环境和可持续发展：</w:t>
      </w:r>
      <w:r>
        <w:rPr>
          <w:rFonts w:ascii="宋体" w:hAnsi="宋体" w:cs="宋体"/>
          <w:kern w:val="0"/>
          <w:sz w:val="24"/>
        </w:rPr>
        <w:t>能够理解和评价满足</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w:t>
      </w:r>
      <w:r>
        <w:rPr>
          <w:rFonts w:ascii="宋体" w:hAnsi="宋体" w:cs="宋体"/>
          <w:kern w:val="0"/>
          <w:sz w:val="24"/>
        </w:rPr>
        <w:t>实践中特定的设计和制备工艺对环境、社会可持续发展的影响；</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8-</w:t>
      </w:r>
      <w:r>
        <w:rPr>
          <w:rFonts w:ascii="宋体" w:hAnsi="宋体" w:cs="宋体"/>
          <w:b/>
          <w:kern w:val="0"/>
          <w:sz w:val="24"/>
        </w:rPr>
        <w:t>职业规范：</w:t>
      </w:r>
      <w:r>
        <w:rPr>
          <w:rFonts w:hint="eastAsia"/>
          <w:bCs/>
          <w:sz w:val="24"/>
        </w:rPr>
        <w:t>了解中国文化、历史与国情，且具有人文社会科学素养与社会责任感，</w:t>
      </w:r>
      <w:r>
        <w:rPr>
          <w:rFonts w:ascii="宋体" w:hAnsi="宋体" w:cs="宋体"/>
          <w:kern w:val="0"/>
          <w:sz w:val="24"/>
        </w:rPr>
        <w:t>能够在</w:t>
      </w:r>
      <w:r>
        <w:rPr>
          <w:rFonts w:hint="eastAsia" w:ascii="宋体" w:hAnsi="宋体" w:cs="宋体"/>
          <w:kern w:val="0"/>
          <w:sz w:val="24"/>
        </w:rPr>
        <w:t>食品化学药学领域</w:t>
      </w:r>
      <w:r>
        <w:rPr>
          <w:rFonts w:ascii="宋体" w:hAnsi="宋体" w:cs="宋体"/>
          <w:kern w:val="0"/>
          <w:sz w:val="24"/>
        </w:rPr>
        <w:t>实践中理解并遵守工程职业道德和规范，履行责任，</w:t>
      </w:r>
      <w:r>
        <w:rPr>
          <w:rFonts w:hint="eastAsia" w:ascii="宋体" w:hAnsi="宋体" w:cs="宋体"/>
          <w:kern w:val="0"/>
          <w:sz w:val="24"/>
        </w:rPr>
        <w:t>成为</w:t>
      </w:r>
      <w:r>
        <w:rPr>
          <w:rFonts w:hint="eastAsia" w:ascii="Arial" w:hAnsi="宋体" w:cs="宋体"/>
          <w:kern w:val="0"/>
          <w:sz w:val="24"/>
        </w:rPr>
        <w:t>知华、友华、爱华与建华</w:t>
      </w:r>
      <w:r>
        <w:rPr>
          <w:rFonts w:hint="eastAsia" w:ascii="宋体" w:hAnsi="宋体"/>
          <w:bCs/>
          <w:sz w:val="24"/>
        </w:rPr>
        <w:t>的具备专业技能的国际人才</w:t>
      </w:r>
      <w:r>
        <w:rPr>
          <w:rFonts w:ascii="宋体" w:hAnsi="宋体" w:cs="宋体"/>
          <w:kern w:val="0"/>
          <w:sz w:val="24"/>
        </w:rPr>
        <w:t>；</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9-</w:t>
      </w:r>
      <w:r>
        <w:rPr>
          <w:rFonts w:ascii="宋体" w:hAnsi="宋体" w:cs="宋体"/>
          <w:b/>
          <w:kern w:val="0"/>
          <w:sz w:val="24"/>
        </w:rPr>
        <w:t>个人和团队：</w:t>
      </w:r>
      <w:r>
        <w:rPr>
          <w:rFonts w:ascii="宋体" w:hAnsi="宋体" w:cs="宋体"/>
          <w:kern w:val="0"/>
          <w:sz w:val="24"/>
        </w:rPr>
        <w:t>能够在多学科背景下的团队中承担个体、团队成员以及负责人的角色；</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10-</w:t>
      </w:r>
      <w:r>
        <w:rPr>
          <w:rFonts w:ascii="宋体" w:hAnsi="宋体" w:cs="宋体"/>
          <w:b/>
          <w:kern w:val="0"/>
          <w:sz w:val="24"/>
        </w:rPr>
        <w:t>沟通：</w:t>
      </w:r>
      <w:r>
        <w:rPr>
          <w:rFonts w:ascii="宋体" w:hAnsi="宋体" w:cs="宋体"/>
          <w:kern w:val="0"/>
          <w:sz w:val="24"/>
        </w:rPr>
        <w:t>能够就</w:t>
      </w:r>
      <w:r>
        <w:rPr>
          <w:rFonts w:hint="eastAsia" w:ascii="宋体" w:hAnsi="宋体" w:cs="宋体"/>
          <w:kern w:val="0"/>
          <w:sz w:val="24"/>
        </w:rPr>
        <w:t>食品化学</w:t>
      </w:r>
      <w:r>
        <w:rPr>
          <w:rFonts w:ascii="宋体" w:hAnsi="宋体" w:cs="宋体"/>
          <w:kern w:val="0"/>
          <w:sz w:val="24"/>
        </w:rPr>
        <w:t>药</w:t>
      </w:r>
      <w:r>
        <w:rPr>
          <w:rFonts w:hint="eastAsia" w:ascii="宋体" w:hAnsi="宋体" w:cs="宋体"/>
          <w:kern w:val="0"/>
          <w:sz w:val="24"/>
        </w:rPr>
        <w:t>学领域</w:t>
      </w:r>
      <w:r>
        <w:rPr>
          <w:rFonts w:ascii="宋体" w:hAnsi="宋体" w:cs="宋体"/>
          <w:kern w:val="0"/>
          <w:sz w:val="24"/>
        </w:rPr>
        <w:t>问题与业界同行及社会公众进行有效沟通和交流，包括撰写报告和设计文稿、陈述发言、清晰表达或回应指令。具备一定的国际视野，能够在跨文化背景下进行沟通和交流；</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11-</w:t>
      </w:r>
      <w:r>
        <w:rPr>
          <w:rFonts w:ascii="宋体" w:hAnsi="宋体" w:cs="宋体"/>
          <w:b/>
          <w:kern w:val="0"/>
          <w:sz w:val="24"/>
        </w:rPr>
        <w:t>项目管理：</w:t>
      </w:r>
      <w:r>
        <w:rPr>
          <w:rFonts w:hint="eastAsia" w:ascii="宋体" w:hAnsi="宋体" w:cs="宋体"/>
          <w:kern w:val="0"/>
          <w:sz w:val="24"/>
        </w:rPr>
        <w:t>能够在多学科环境中</w:t>
      </w:r>
      <w:r>
        <w:rPr>
          <w:rFonts w:ascii="宋体" w:hAnsi="宋体" w:cs="宋体"/>
          <w:kern w:val="0"/>
          <w:sz w:val="24"/>
        </w:rPr>
        <w:t>理解并掌握</w:t>
      </w:r>
      <w:r>
        <w:rPr>
          <w:rFonts w:hint="eastAsia" w:ascii="宋体" w:hAnsi="宋体" w:cs="宋体"/>
          <w:kern w:val="0"/>
          <w:sz w:val="24"/>
        </w:rPr>
        <w:t>工程管理原理与经济决策方法</w:t>
      </w:r>
      <w:r>
        <w:rPr>
          <w:rFonts w:ascii="宋体" w:hAnsi="宋体" w:cs="宋体"/>
          <w:kern w:val="0"/>
          <w:sz w:val="24"/>
        </w:rPr>
        <w:t>，</w:t>
      </w:r>
      <w:r>
        <w:rPr>
          <w:rFonts w:hint="eastAsia" w:ascii="宋体" w:hAnsi="宋体" w:cs="宋体"/>
          <w:kern w:val="0"/>
          <w:sz w:val="24"/>
        </w:rPr>
        <w:t>具有一定的组织、管理和领导能力</w:t>
      </w:r>
      <w:r>
        <w:rPr>
          <w:rFonts w:ascii="宋体" w:hAnsi="宋体" w:cs="宋体"/>
          <w:kern w:val="0"/>
          <w:sz w:val="24"/>
        </w:rPr>
        <w:t>；</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TimesNewRomanPS-BoldMT"/>
          <w:bCs/>
          <w:kern w:val="0"/>
          <w:sz w:val="24"/>
        </w:rPr>
        <w:t xml:space="preserve">毕业要求 </w:t>
      </w:r>
      <w:r>
        <w:rPr>
          <w:rFonts w:hint="eastAsia" w:ascii="宋体" w:hAnsi="宋体" w:cs="TimesNewRomanPS-BoldMT"/>
          <w:b/>
          <w:bCs/>
          <w:kern w:val="0"/>
          <w:sz w:val="24"/>
        </w:rPr>
        <w:t>12-</w:t>
      </w:r>
      <w:r>
        <w:rPr>
          <w:rFonts w:ascii="宋体" w:hAnsi="宋体" w:cs="宋体"/>
          <w:b/>
          <w:kern w:val="0"/>
          <w:sz w:val="24"/>
        </w:rPr>
        <w:t>终身学习：</w:t>
      </w:r>
      <w:r>
        <w:rPr>
          <w:rFonts w:ascii="宋体" w:hAnsi="宋体" w:cs="宋体"/>
          <w:kern w:val="0"/>
          <w:sz w:val="24"/>
        </w:rPr>
        <w:t>具有自主学习和终身学习的意识，有不断学习和适应发展的能力。</w:t>
      </w:r>
    </w:p>
    <w:p>
      <w:pPr>
        <w:numPr>
          <w:ilvl w:val="0"/>
          <w:numId w:val="1"/>
        </w:numPr>
        <w:rPr>
          <w:rFonts w:cs="Times New Roman"/>
          <w:sz w:val="24"/>
        </w:rPr>
      </w:pPr>
      <w:r>
        <w:rPr>
          <w:rFonts w:cs="Times New Roman"/>
          <w:sz w:val="24"/>
        </w:rPr>
        <w:t>Project knowledge: Graduates will have the ability to use mathematics, natural science, engineering foundation and expertise to address complex food engineering issues.</w:t>
      </w:r>
    </w:p>
    <w:p>
      <w:pPr>
        <w:numPr>
          <w:ilvl w:val="0"/>
          <w:numId w:val="1"/>
        </w:numPr>
        <w:rPr>
          <w:rFonts w:cs="Times New Roman"/>
          <w:sz w:val="24"/>
        </w:rPr>
      </w:pPr>
      <w:r>
        <w:rPr>
          <w:rFonts w:cs="Times New Roman"/>
          <w:sz w:val="24"/>
        </w:rPr>
        <w:t>Problem Analysis: Graduates will have the ability to use basic principles of mathematics, natural science and engineering science to Identify and analyze complex food engineering issues through literature research and finally obtain effective conclusions.</w:t>
      </w:r>
    </w:p>
    <w:p>
      <w:pPr>
        <w:numPr>
          <w:ilvl w:val="0"/>
          <w:numId w:val="1"/>
        </w:numPr>
        <w:rPr>
          <w:rFonts w:cs="Times New Roman"/>
          <w:sz w:val="24"/>
        </w:rPr>
      </w:pPr>
      <w:r>
        <w:rPr>
          <w:rFonts w:cs="Times New Roman"/>
          <w:sz w:val="24"/>
        </w:rPr>
        <w:t>Design / develop solutions: Graduates are able to design solutions for complex food engineering problems involving systems, units (components) or processes meeting specific needs.  They can also reflect innovative awareness in the design part, considering social, health, safety, legal, cultural and environmental factors.</w:t>
      </w:r>
    </w:p>
    <w:p>
      <w:pPr>
        <w:numPr>
          <w:ilvl w:val="0"/>
          <w:numId w:val="1"/>
        </w:numPr>
        <w:rPr>
          <w:rFonts w:cs="Times New Roman"/>
          <w:sz w:val="24"/>
        </w:rPr>
      </w:pPr>
      <w:r>
        <w:rPr>
          <w:rFonts w:cs="Times New Roman"/>
          <w:sz w:val="24"/>
        </w:rPr>
        <w:t>Research: Graduates will have the ability to study complex food engineering problems based on scientific principles and scientific methods, including designing experiments, analyzing and interpreting data, and drawing reasonable and effective conclusions through information synthesis.</w:t>
      </w:r>
    </w:p>
    <w:p>
      <w:pPr>
        <w:numPr>
          <w:ilvl w:val="0"/>
          <w:numId w:val="1"/>
        </w:numPr>
        <w:rPr>
          <w:rFonts w:cs="Times New Roman"/>
          <w:sz w:val="24"/>
        </w:rPr>
      </w:pPr>
      <w:r>
        <w:rPr>
          <w:rFonts w:cs="Times New Roman"/>
          <w:sz w:val="24"/>
        </w:rPr>
        <w:t>Use of modern tools: Graduates will have the ability to develop, select and use appropriate technologies, resources, modern engineering tools and information technology tools to solve complex food engineering problems.</w:t>
      </w:r>
    </w:p>
    <w:p>
      <w:pPr>
        <w:numPr>
          <w:ilvl w:val="0"/>
          <w:numId w:val="1"/>
        </w:numPr>
        <w:rPr>
          <w:rFonts w:cs="Times New Roman"/>
          <w:sz w:val="24"/>
        </w:rPr>
      </w:pPr>
      <w:r>
        <w:rPr>
          <w:rFonts w:cs="Times New Roman"/>
          <w:sz w:val="24"/>
        </w:rPr>
        <w:t>Engineering &amp; Society:  Graduates will have the ability to analyze and evaluate influence of food professional engineering practice and complex food engineering problem solutions on social, health, safety, law and culture. They will also understand the responsibilities that should be undertaken.</w:t>
      </w:r>
    </w:p>
    <w:p>
      <w:pPr>
        <w:numPr>
          <w:ilvl w:val="0"/>
          <w:numId w:val="1"/>
        </w:numPr>
        <w:rPr>
          <w:rFonts w:cs="Times New Roman"/>
          <w:sz w:val="24"/>
        </w:rPr>
      </w:pPr>
      <w:r>
        <w:rPr>
          <w:rFonts w:cs="Times New Roman"/>
          <w:sz w:val="24"/>
        </w:rPr>
        <w:t xml:space="preserve">Environment and Sustainable Development: Graduates will understand and evaluate the impact of engineering practice against complex food engineering issues on environmental and social sustainable development. </w:t>
      </w:r>
    </w:p>
    <w:p>
      <w:pPr>
        <w:numPr>
          <w:ilvl w:val="0"/>
          <w:numId w:val="1"/>
        </w:numPr>
        <w:rPr>
          <w:rFonts w:cs="Times New Roman"/>
          <w:sz w:val="24"/>
        </w:rPr>
      </w:pPr>
      <w:r>
        <w:rPr>
          <w:rFonts w:cs="Times New Roman"/>
          <w:sz w:val="24"/>
        </w:rPr>
        <w:t>Professional norms: Graduates will have humanities and social science literacy, sense of social responsibility, they will also be able to understand and abide by the engineering practice.</w:t>
      </w:r>
    </w:p>
    <w:p>
      <w:pPr>
        <w:numPr>
          <w:ilvl w:val="0"/>
          <w:numId w:val="1"/>
        </w:numPr>
        <w:rPr>
          <w:rFonts w:cs="Times New Roman"/>
          <w:sz w:val="24"/>
        </w:rPr>
      </w:pPr>
      <w:r>
        <w:rPr>
          <w:rFonts w:cs="Times New Roman"/>
          <w:sz w:val="24"/>
        </w:rPr>
        <w:t>Individual and team: Graduates will be able to play the role of individual, team member and leader in a multidisciplinary team.</w:t>
      </w:r>
    </w:p>
    <w:p>
      <w:pPr>
        <w:numPr>
          <w:ilvl w:val="0"/>
          <w:numId w:val="1"/>
        </w:numPr>
        <w:rPr>
          <w:rFonts w:cs="Times New Roman"/>
          <w:sz w:val="24"/>
        </w:rPr>
      </w:pPr>
      <w:r>
        <w:rPr>
          <w:rFonts w:cs="Times New Roman"/>
          <w:sz w:val="24"/>
        </w:rPr>
        <w:t>Communication: Graduates will be able to effectively communicate with peers in the industry and the public on complex food engineering issues, including writing reports and design manuscripts, making statements, clearly expressing or responding to instructions. They will also have a certain international vision, and be able to communicate in the cross-cultural background.</w:t>
      </w:r>
    </w:p>
    <w:p>
      <w:pPr>
        <w:numPr>
          <w:ilvl w:val="0"/>
          <w:numId w:val="1"/>
        </w:numPr>
        <w:rPr>
          <w:rFonts w:cs="Times New Roman"/>
          <w:sz w:val="24"/>
        </w:rPr>
      </w:pPr>
      <w:r>
        <w:rPr>
          <w:rFonts w:cs="Times New Roman"/>
          <w:sz w:val="24"/>
        </w:rPr>
        <w:t>Project Management: Graduates will understand and master the principles of engineering management and economic decision-making methods. They will also be able to apply them in a multidisciplinary environment.</w:t>
      </w:r>
    </w:p>
    <w:p>
      <w:pPr>
        <w:numPr>
          <w:ilvl w:val="0"/>
          <w:numId w:val="1"/>
        </w:numPr>
        <w:rPr>
          <w:rFonts w:cs="Times New Roman"/>
          <w:sz w:val="24"/>
        </w:rPr>
      </w:pPr>
      <w:r>
        <w:rPr>
          <w:rFonts w:cs="Times New Roman"/>
          <w:sz w:val="24"/>
        </w:rPr>
        <w:t>Lifelong learning: Graduates will have the consciousness of self-learning and lifelong learning, they will also have the ability of continuous learning and adapting to development.</w:t>
      </w:r>
    </w:p>
    <w:p>
      <w:pPr>
        <w:autoSpaceDE w:val="0"/>
        <w:autoSpaceDN w:val="0"/>
        <w:adjustRightInd w:val="0"/>
        <w:spacing w:line="360" w:lineRule="auto"/>
        <w:ind w:firstLine="480" w:firstLineChars="200"/>
        <w:jc w:val="left"/>
        <w:rPr>
          <w:rFonts w:ascii="宋体" w:hAnsi="宋体" w:cs="宋体"/>
          <w:kern w:val="0"/>
          <w:sz w:val="24"/>
        </w:rPr>
      </w:pPr>
    </w:p>
    <w:p>
      <w:pPr>
        <w:spacing w:line="360" w:lineRule="auto"/>
        <w:rPr>
          <w:rStyle w:val="16"/>
          <w:rFonts w:ascii="Arial" w:hAnsi="Arial" w:cs="Arial"/>
          <w:bCs w:val="0"/>
          <w:color w:val="000000"/>
          <w:sz w:val="24"/>
          <w:szCs w:val="24"/>
        </w:rPr>
      </w:pPr>
      <w:r>
        <w:rPr>
          <w:rStyle w:val="16"/>
          <w:rFonts w:hint="eastAsia" w:ascii="Arial" w:hAnsi="Arial" w:cs="Arial"/>
          <w:bCs w:val="0"/>
          <w:color w:val="000000"/>
          <w:sz w:val="24"/>
          <w:szCs w:val="24"/>
        </w:rPr>
        <w:t>三、涉及学科专业（含学科门类</w:t>
      </w:r>
      <w:r>
        <w:rPr>
          <w:rStyle w:val="16"/>
          <w:rFonts w:ascii="Arial" w:hAnsi="Arial" w:cs="Arial"/>
          <w:bCs w:val="0"/>
          <w:color w:val="000000"/>
          <w:sz w:val="24"/>
          <w:szCs w:val="24"/>
        </w:rPr>
        <w:t>、专业名称、代码</w:t>
      </w:r>
      <w:r>
        <w:rPr>
          <w:rStyle w:val="16"/>
          <w:rFonts w:hint="eastAsia" w:ascii="Arial" w:hAnsi="Arial" w:cs="Arial"/>
          <w:bCs w:val="0"/>
          <w:color w:val="000000"/>
          <w:sz w:val="24"/>
          <w:szCs w:val="24"/>
        </w:rPr>
        <w:t>）（Majors）：</w:t>
      </w:r>
    </w:p>
    <w:p>
      <w:pPr>
        <w:spacing w:line="360" w:lineRule="auto"/>
        <w:rPr>
          <w:rFonts w:ascii="宋体" w:hAnsi="宋体" w:cs="TimesNewRomanPSMT"/>
          <w:kern w:val="0"/>
          <w:sz w:val="24"/>
        </w:rPr>
      </w:pPr>
      <w:r>
        <w:rPr>
          <w:rStyle w:val="16"/>
          <w:rFonts w:ascii="Arial" w:hAnsi="Arial" w:cs="Arial"/>
          <w:b w:val="0"/>
          <w:bCs w:val="0"/>
          <w:color w:val="000000"/>
          <w:sz w:val="24"/>
          <w:szCs w:val="24"/>
        </w:rPr>
        <w:t>学科门类：</w:t>
      </w:r>
      <w:r>
        <w:rPr>
          <w:rStyle w:val="16"/>
          <w:rFonts w:hint="eastAsia" w:ascii="Arial" w:hAnsi="Arial" w:cs="Arial"/>
          <w:b w:val="0"/>
          <w:bCs w:val="0"/>
          <w:color w:val="000000"/>
          <w:sz w:val="24"/>
          <w:szCs w:val="24"/>
        </w:rPr>
        <w:t>工学</w:t>
      </w:r>
      <w:r>
        <w:rPr>
          <w:rStyle w:val="16"/>
          <w:rFonts w:ascii="Arial" w:hAnsi="Arial" w:cs="Arial"/>
          <w:b w:val="0"/>
          <w:bCs w:val="0"/>
          <w:color w:val="000000"/>
          <w:sz w:val="24"/>
          <w:szCs w:val="24"/>
        </w:rPr>
        <w:t xml:space="preserve"> </w:t>
      </w:r>
      <w:r>
        <w:rPr>
          <w:rStyle w:val="16"/>
          <w:rFonts w:hint="eastAsia" w:ascii="Arial" w:hAnsi="Arial" w:cs="Arial"/>
          <w:b w:val="0"/>
          <w:bCs w:val="0"/>
          <w:color w:val="000000"/>
          <w:sz w:val="24"/>
          <w:szCs w:val="24"/>
        </w:rPr>
        <w:t xml:space="preserve">  </w:t>
      </w:r>
      <w:r>
        <w:rPr>
          <w:rStyle w:val="16"/>
          <w:rFonts w:ascii="Arial" w:hAnsi="Arial" w:cs="Arial"/>
          <w:b w:val="0"/>
          <w:bCs w:val="0"/>
          <w:color w:val="000000"/>
          <w:sz w:val="24"/>
          <w:szCs w:val="24"/>
        </w:rPr>
        <w:t>专业名称：</w:t>
      </w:r>
      <w:r>
        <w:rPr>
          <w:rStyle w:val="16"/>
          <w:rFonts w:hint="eastAsia" w:ascii="Arial" w:hAnsi="Arial" w:cs="Arial"/>
          <w:b w:val="0"/>
          <w:bCs w:val="0"/>
          <w:color w:val="000000"/>
          <w:sz w:val="24"/>
          <w:szCs w:val="24"/>
        </w:rPr>
        <w:t>食品科学与工程</w:t>
      </w:r>
      <w:r>
        <w:rPr>
          <w:rStyle w:val="16"/>
          <w:rFonts w:ascii="Arial" w:hAnsi="Arial" w:cs="Arial"/>
          <w:b w:val="0"/>
          <w:bCs w:val="0"/>
          <w:color w:val="000000"/>
          <w:sz w:val="24"/>
          <w:szCs w:val="24"/>
        </w:rPr>
        <w:t xml:space="preserve">  </w:t>
      </w:r>
      <w:r>
        <w:rPr>
          <w:rStyle w:val="16"/>
          <w:rFonts w:hint="eastAsia" w:ascii="Arial" w:hAnsi="Arial" w:cs="Arial"/>
          <w:b w:val="0"/>
          <w:bCs w:val="0"/>
          <w:color w:val="000000"/>
          <w:sz w:val="24"/>
          <w:szCs w:val="24"/>
        </w:rPr>
        <w:t>代码</w:t>
      </w:r>
      <w:r>
        <w:rPr>
          <w:rStyle w:val="16"/>
          <w:rFonts w:ascii="Arial" w:hAnsi="Arial" w:cs="Arial"/>
          <w:b w:val="0"/>
          <w:bCs w:val="0"/>
          <w:color w:val="000000"/>
          <w:sz w:val="24"/>
          <w:szCs w:val="24"/>
        </w:rPr>
        <w:t>：</w:t>
      </w:r>
      <w:r>
        <w:rPr>
          <w:rFonts w:hint="eastAsia" w:ascii="宋体" w:hAnsi="宋体" w:cs="TimesNewRomanPSMT"/>
          <w:kern w:val="0"/>
          <w:sz w:val="24"/>
        </w:rPr>
        <w:t>082701</w:t>
      </w:r>
    </w:p>
    <w:p>
      <w:pPr>
        <w:spacing w:line="360" w:lineRule="auto"/>
        <w:rPr>
          <w:rStyle w:val="16"/>
          <w:rFonts w:ascii="Arial" w:hAnsi="Arial" w:cs="Arial"/>
          <w:b w:val="0"/>
          <w:bCs w:val="0"/>
          <w:color w:val="000000"/>
          <w:sz w:val="24"/>
          <w:szCs w:val="24"/>
        </w:rPr>
      </w:pPr>
      <w:r>
        <w:rPr>
          <w:rStyle w:val="16"/>
          <w:rFonts w:ascii="Arial" w:hAnsi="Arial" w:cs="Arial"/>
          <w:b w:val="0"/>
          <w:bCs w:val="0"/>
          <w:color w:val="000000"/>
          <w:sz w:val="24"/>
          <w:szCs w:val="24"/>
        </w:rPr>
        <w:t>学科门类：</w:t>
      </w:r>
      <w:r>
        <w:rPr>
          <w:rStyle w:val="16"/>
          <w:rFonts w:hint="eastAsia" w:ascii="Arial" w:hAnsi="Arial" w:cs="Arial"/>
          <w:b w:val="0"/>
          <w:bCs w:val="0"/>
          <w:color w:val="000000"/>
          <w:sz w:val="24"/>
          <w:szCs w:val="24"/>
        </w:rPr>
        <w:t>理学</w:t>
      </w:r>
      <w:r>
        <w:rPr>
          <w:rStyle w:val="16"/>
          <w:rFonts w:ascii="Arial" w:hAnsi="Arial" w:cs="Arial"/>
          <w:b w:val="0"/>
          <w:bCs w:val="0"/>
          <w:color w:val="000000"/>
          <w:sz w:val="24"/>
          <w:szCs w:val="24"/>
        </w:rPr>
        <w:t xml:space="preserve"> </w:t>
      </w:r>
      <w:r>
        <w:rPr>
          <w:rStyle w:val="16"/>
          <w:rFonts w:hint="eastAsia" w:ascii="Arial" w:hAnsi="Arial" w:cs="Arial"/>
          <w:b w:val="0"/>
          <w:bCs w:val="0"/>
          <w:color w:val="000000"/>
          <w:sz w:val="24"/>
          <w:szCs w:val="24"/>
        </w:rPr>
        <w:t xml:space="preserve">  </w:t>
      </w:r>
      <w:r>
        <w:rPr>
          <w:rStyle w:val="16"/>
          <w:rFonts w:ascii="Arial" w:hAnsi="Arial" w:cs="Arial"/>
          <w:b w:val="0"/>
          <w:bCs w:val="0"/>
          <w:color w:val="000000"/>
          <w:sz w:val="24"/>
          <w:szCs w:val="24"/>
        </w:rPr>
        <w:t>专业名称：</w:t>
      </w:r>
      <w:r>
        <w:rPr>
          <w:rStyle w:val="16"/>
          <w:rFonts w:hint="eastAsia" w:ascii="Arial" w:hAnsi="Arial" w:cs="Arial"/>
          <w:b w:val="0"/>
          <w:bCs w:val="0"/>
          <w:color w:val="000000"/>
          <w:sz w:val="24"/>
          <w:szCs w:val="24"/>
        </w:rPr>
        <w:t>药学</w:t>
      </w:r>
      <w:r>
        <w:rPr>
          <w:rStyle w:val="16"/>
          <w:rFonts w:ascii="Arial" w:hAnsi="Arial" w:cs="Arial"/>
          <w:b w:val="0"/>
          <w:bCs w:val="0"/>
          <w:color w:val="000000"/>
          <w:sz w:val="24"/>
          <w:szCs w:val="24"/>
        </w:rPr>
        <w:t xml:space="preserve">  </w:t>
      </w:r>
      <w:r>
        <w:rPr>
          <w:rStyle w:val="16"/>
          <w:rFonts w:hint="eastAsia" w:ascii="Arial" w:hAnsi="Arial" w:cs="Arial"/>
          <w:b w:val="0"/>
          <w:bCs w:val="0"/>
          <w:color w:val="000000"/>
          <w:sz w:val="24"/>
          <w:szCs w:val="24"/>
        </w:rPr>
        <w:t xml:space="preserve">          代码</w:t>
      </w:r>
      <w:r>
        <w:rPr>
          <w:rStyle w:val="16"/>
          <w:rFonts w:ascii="Arial" w:hAnsi="Arial" w:cs="Arial"/>
          <w:b w:val="0"/>
          <w:bCs w:val="0"/>
          <w:color w:val="000000"/>
          <w:sz w:val="24"/>
          <w:szCs w:val="24"/>
        </w:rPr>
        <w:t>：</w:t>
      </w:r>
      <w:r>
        <w:rPr>
          <w:rFonts w:ascii="宋体" w:hAnsi="宋体" w:cs="TimesNewRomanPSMT"/>
          <w:kern w:val="0"/>
          <w:sz w:val="24"/>
        </w:rPr>
        <w:t>100701</w:t>
      </w:r>
    </w:p>
    <w:p>
      <w:pPr>
        <w:spacing w:line="360" w:lineRule="auto"/>
        <w:rPr>
          <w:rStyle w:val="16"/>
          <w:rFonts w:ascii="Arial" w:hAnsi="Arial" w:cs="Arial"/>
          <w:b w:val="0"/>
          <w:bCs w:val="0"/>
          <w:color w:val="000000"/>
          <w:sz w:val="24"/>
          <w:szCs w:val="24"/>
        </w:rPr>
      </w:pPr>
      <w:r>
        <w:rPr>
          <w:rStyle w:val="16"/>
          <w:rFonts w:ascii="Arial" w:hAnsi="Arial" w:cs="Arial"/>
          <w:b w:val="0"/>
          <w:bCs w:val="0"/>
          <w:color w:val="000000"/>
          <w:sz w:val="24"/>
          <w:szCs w:val="24"/>
        </w:rPr>
        <w:t>学科门类：</w:t>
      </w:r>
      <w:r>
        <w:rPr>
          <w:rStyle w:val="16"/>
          <w:rFonts w:hint="eastAsia" w:ascii="Arial" w:hAnsi="Arial" w:cs="Arial"/>
          <w:b w:val="0"/>
          <w:bCs w:val="0"/>
          <w:color w:val="000000"/>
          <w:sz w:val="24"/>
          <w:szCs w:val="24"/>
        </w:rPr>
        <w:t>工学</w:t>
      </w:r>
      <w:r>
        <w:rPr>
          <w:rStyle w:val="16"/>
          <w:rFonts w:ascii="Arial" w:hAnsi="Arial" w:cs="Arial"/>
          <w:b w:val="0"/>
          <w:bCs w:val="0"/>
          <w:color w:val="000000"/>
          <w:sz w:val="24"/>
          <w:szCs w:val="24"/>
        </w:rPr>
        <w:t xml:space="preserve"> </w:t>
      </w:r>
      <w:r>
        <w:rPr>
          <w:rStyle w:val="16"/>
          <w:rFonts w:hint="eastAsia" w:ascii="Arial" w:hAnsi="Arial" w:cs="Arial"/>
          <w:b w:val="0"/>
          <w:bCs w:val="0"/>
          <w:color w:val="000000"/>
          <w:sz w:val="24"/>
          <w:szCs w:val="24"/>
        </w:rPr>
        <w:t xml:space="preserve">  </w:t>
      </w:r>
      <w:r>
        <w:rPr>
          <w:rStyle w:val="16"/>
          <w:rFonts w:ascii="Arial" w:hAnsi="Arial" w:cs="Arial"/>
          <w:b w:val="0"/>
          <w:bCs w:val="0"/>
          <w:color w:val="000000"/>
          <w:sz w:val="24"/>
          <w:szCs w:val="24"/>
        </w:rPr>
        <w:t>专业名称：</w:t>
      </w:r>
      <w:r>
        <w:rPr>
          <w:rStyle w:val="16"/>
          <w:rFonts w:hint="eastAsia" w:ascii="Arial" w:hAnsi="Arial" w:cs="Arial"/>
          <w:b w:val="0"/>
          <w:bCs w:val="0"/>
          <w:color w:val="000000"/>
          <w:sz w:val="24"/>
          <w:szCs w:val="24"/>
        </w:rPr>
        <w:t>化学工程与工艺</w:t>
      </w:r>
      <w:r>
        <w:rPr>
          <w:rStyle w:val="16"/>
          <w:rFonts w:ascii="Arial" w:hAnsi="Arial" w:cs="Arial"/>
          <w:b w:val="0"/>
          <w:bCs w:val="0"/>
          <w:color w:val="000000"/>
          <w:sz w:val="24"/>
          <w:szCs w:val="24"/>
        </w:rPr>
        <w:t xml:space="preserve">  </w:t>
      </w:r>
      <w:r>
        <w:rPr>
          <w:rStyle w:val="16"/>
          <w:rFonts w:hint="eastAsia" w:ascii="Arial" w:hAnsi="Arial" w:cs="Arial"/>
          <w:b w:val="0"/>
          <w:bCs w:val="0"/>
          <w:color w:val="000000"/>
          <w:sz w:val="24"/>
          <w:szCs w:val="24"/>
        </w:rPr>
        <w:t>代码</w:t>
      </w:r>
      <w:r>
        <w:rPr>
          <w:rStyle w:val="16"/>
          <w:rFonts w:ascii="Arial" w:hAnsi="Arial" w:cs="Arial"/>
          <w:b w:val="0"/>
          <w:bCs w:val="0"/>
          <w:color w:val="000000"/>
          <w:sz w:val="24"/>
          <w:szCs w:val="24"/>
        </w:rPr>
        <w:t>：</w:t>
      </w:r>
      <w:r>
        <w:rPr>
          <w:rFonts w:hint="eastAsia" w:ascii="宋体" w:hAnsi="宋体" w:cs="TimesNewRomanPSMT"/>
          <w:kern w:val="0"/>
          <w:sz w:val="24"/>
        </w:rPr>
        <w:t>081301</w:t>
      </w:r>
    </w:p>
    <w:p>
      <w:pPr>
        <w:rPr>
          <w:rFonts w:cs="Times New Roman"/>
          <w:sz w:val="24"/>
        </w:rPr>
      </w:pPr>
      <w:r>
        <w:rPr>
          <w:rFonts w:cs="Times New Roman"/>
          <w:sz w:val="24"/>
        </w:rPr>
        <w:t>Food Science and Engineering</w:t>
      </w:r>
    </w:p>
    <w:p>
      <w:pPr>
        <w:rPr>
          <w:rFonts w:cs="Times New Roman"/>
          <w:sz w:val="24"/>
        </w:rPr>
      </w:pPr>
      <w:r>
        <w:rPr>
          <w:rFonts w:hint="eastAsia" w:cs="Times New Roman"/>
          <w:sz w:val="24"/>
        </w:rPr>
        <w:t>P</w:t>
      </w:r>
      <w:r>
        <w:rPr>
          <w:rFonts w:cs="Times New Roman"/>
          <w:sz w:val="24"/>
        </w:rPr>
        <w:t>harmacy</w:t>
      </w:r>
    </w:p>
    <w:p>
      <w:pPr>
        <w:rPr>
          <w:rFonts w:cs="Times New Roman"/>
          <w:sz w:val="24"/>
        </w:rPr>
      </w:pPr>
      <w:r>
        <w:rPr>
          <w:rFonts w:cs="Times New Roman"/>
          <w:sz w:val="24"/>
        </w:rPr>
        <w:t>Chemical Engineering and Process</w:t>
      </w:r>
    </w:p>
    <w:p>
      <w:pPr>
        <w:spacing w:line="360" w:lineRule="auto"/>
        <w:rPr>
          <w:rStyle w:val="16"/>
          <w:rFonts w:ascii="Arial" w:hAnsi="Arial" w:cs="Arial"/>
          <w:bCs w:val="0"/>
          <w:color w:val="000000"/>
          <w:sz w:val="24"/>
          <w:szCs w:val="24"/>
        </w:rPr>
      </w:pPr>
      <w:r>
        <w:rPr>
          <w:rStyle w:val="16"/>
          <w:rFonts w:hint="eastAsia" w:ascii="Arial" w:hAnsi="Arial" w:cs="Arial"/>
          <w:bCs w:val="0"/>
          <w:color w:val="000000"/>
          <w:sz w:val="24"/>
          <w:szCs w:val="24"/>
        </w:rPr>
        <w:t>四、培养体系和课程模块（</w:t>
      </w:r>
      <w:r>
        <w:rPr>
          <w:rStyle w:val="16"/>
          <w:rFonts w:ascii="Arial" w:hAnsi="Arial" w:cs="Arial"/>
          <w:bCs w:val="0"/>
          <w:color w:val="000000"/>
          <w:sz w:val="24"/>
          <w:szCs w:val="24"/>
        </w:rPr>
        <w:t>Training System and Course Module</w:t>
      </w:r>
      <w:r>
        <w:rPr>
          <w:rStyle w:val="16"/>
          <w:rFonts w:hint="eastAsia" w:ascii="Arial" w:hAnsi="Arial" w:cs="Arial"/>
          <w:bCs w:val="0"/>
          <w:color w:val="000000"/>
          <w:sz w:val="24"/>
          <w:szCs w:val="24"/>
        </w:rPr>
        <w:t>）：</w:t>
      </w:r>
    </w:p>
    <w:p>
      <w:pPr>
        <w:adjustRightInd w:val="0"/>
        <w:spacing w:line="360" w:lineRule="auto"/>
        <w:rPr>
          <w:bCs/>
          <w:sz w:val="24"/>
        </w:rPr>
      </w:pPr>
      <w:r>
        <w:rPr>
          <w:rFonts w:hint="eastAsia"/>
          <w:bCs/>
          <w:sz w:val="24"/>
        </w:rPr>
        <w:t>1. 课程体系</w:t>
      </w:r>
    </w:p>
    <w:p>
      <w:pPr>
        <w:adjustRightInd w:val="0"/>
        <w:spacing w:line="360" w:lineRule="auto"/>
        <w:ind w:firstLine="480" w:firstLineChars="200"/>
        <w:rPr>
          <w:bCs/>
          <w:sz w:val="24"/>
        </w:rPr>
      </w:pPr>
      <w:r>
        <w:rPr>
          <w:rFonts w:hint="eastAsia"/>
          <w:bCs/>
          <w:sz w:val="24"/>
        </w:rPr>
        <w:t>由通识教育课程、学科大类基础课程、专业课程、自主研学选修课程、及实践环节等模块组成（见食品药化类专业课程体系学分分布表）。</w:t>
      </w:r>
    </w:p>
    <w:p>
      <w:pPr>
        <w:autoSpaceDE w:val="0"/>
        <w:autoSpaceDN w:val="0"/>
        <w:adjustRightInd w:val="0"/>
        <w:spacing w:line="360" w:lineRule="auto"/>
        <w:jc w:val="left"/>
        <w:rPr>
          <w:bCs/>
          <w:sz w:val="24"/>
        </w:rPr>
      </w:pPr>
      <w:r>
        <w:rPr>
          <w:bCs/>
          <w:sz w:val="24"/>
        </w:rPr>
        <w:t>主干学科：食品</w:t>
      </w:r>
      <w:r>
        <w:rPr>
          <w:rFonts w:hint="eastAsia"/>
          <w:bCs/>
          <w:sz w:val="24"/>
        </w:rPr>
        <w:t>、</w:t>
      </w:r>
      <w:r>
        <w:rPr>
          <w:bCs/>
          <w:sz w:val="24"/>
        </w:rPr>
        <w:t>药学、化学</w:t>
      </w:r>
    </w:p>
    <w:p>
      <w:pPr>
        <w:autoSpaceDE w:val="0"/>
        <w:autoSpaceDN w:val="0"/>
        <w:adjustRightInd w:val="0"/>
        <w:spacing w:line="360" w:lineRule="auto"/>
        <w:jc w:val="left"/>
        <w:rPr>
          <w:bCs/>
          <w:sz w:val="24"/>
        </w:rPr>
      </w:pPr>
      <w:r>
        <w:rPr>
          <w:rFonts w:hint="eastAsia"/>
          <w:bCs/>
          <w:sz w:val="24"/>
        </w:rPr>
        <w:t>核心课程：有机化学、生物化学、药物化学、药物分析、药剂学、药理学、分子生物学、生物药剂学与药物动力学、临床药物治疗学、药用高分子材料学、制剂工程学、有机化学、生物化学、微生物学、食品工程原理、食品工艺学、食品化学、食品营养学、现代食品检测技术、食品加工机械与设备、食品工厂设计、无机化学、有机化学、物理化学、过程工程原理、化学反应工程、化工系统工程、化学工艺学、化工仪表与自动化、工程设计与软件运用、化工设备机械基础、安全工程管理、化工热力学、现代分离技术与运用、安全化学汉语</w:t>
      </w:r>
    </w:p>
    <w:p>
      <w:pPr>
        <w:rPr>
          <w:rFonts w:cs="Times New Roman"/>
          <w:sz w:val="24"/>
        </w:rPr>
      </w:pPr>
      <w:r>
        <w:rPr>
          <w:rFonts w:cs="Times New Roman"/>
          <w:sz w:val="24"/>
        </w:rPr>
        <w:t xml:space="preserve">Core courses: Organic Chemistry, </w:t>
      </w:r>
      <w:r>
        <w:rPr>
          <w:rFonts w:hint="eastAsia" w:cs="Times New Roman"/>
          <w:sz w:val="24"/>
        </w:rPr>
        <w:t>B</w:t>
      </w:r>
      <w:r>
        <w:rPr>
          <w:rFonts w:cs="Times New Roman"/>
          <w:sz w:val="24"/>
        </w:rPr>
        <w:t xml:space="preserve">iochemistry, </w:t>
      </w:r>
      <w:r>
        <w:rPr>
          <w:rFonts w:hint="eastAsia" w:cs="Times New Roman"/>
          <w:sz w:val="24"/>
        </w:rPr>
        <w:t>M</w:t>
      </w:r>
      <w:r>
        <w:rPr>
          <w:rFonts w:cs="Times New Roman"/>
          <w:sz w:val="24"/>
        </w:rPr>
        <w:t>icrobiology,</w:t>
      </w:r>
      <w:r>
        <w:rPr>
          <w:rFonts w:hint="eastAsia" w:cs="Times New Roman"/>
          <w:sz w:val="24"/>
        </w:rPr>
        <w:t xml:space="preserve"> </w:t>
      </w:r>
      <w:r>
        <w:rPr>
          <w:rFonts w:cs="Times New Roman"/>
          <w:sz w:val="24"/>
        </w:rPr>
        <w:t xml:space="preserve">Principle of Food Engineering, </w:t>
      </w:r>
      <w:r>
        <w:rPr>
          <w:rFonts w:hint="eastAsia" w:cs="Times New Roman"/>
          <w:sz w:val="24"/>
        </w:rPr>
        <w:t>Food Processing Technology</w:t>
      </w:r>
      <w:r>
        <w:rPr>
          <w:rFonts w:cs="Times New Roman"/>
          <w:sz w:val="24"/>
        </w:rPr>
        <w:t xml:space="preserve">, </w:t>
      </w:r>
      <w:r>
        <w:rPr>
          <w:rFonts w:hint="eastAsia" w:cs="Times New Roman"/>
          <w:sz w:val="24"/>
        </w:rPr>
        <w:t>F</w:t>
      </w:r>
      <w:r>
        <w:rPr>
          <w:rFonts w:cs="Times New Roman"/>
          <w:sz w:val="24"/>
        </w:rPr>
        <w:t xml:space="preserve">ood </w:t>
      </w:r>
      <w:r>
        <w:rPr>
          <w:rFonts w:hint="eastAsia" w:cs="Times New Roman"/>
          <w:sz w:val="24"/>
        </w:rPr>
        <w:t>C</w:t>
      </w:r>
      <w:r>
        <w:rPr>
          <w:rFonts w:cs="Times New Roman"/>
          <w:sz w:val="24"/>
        </w:rPr>
        <w:t xml:space="preserve">hemistry, </w:t>
      </w:r>
      <w:r>
        <w:rPr>
          <w:rFonts w:hint="eastAsia" w:cs="Times New Roman"/>
          <w:sz w:val="24"/>
        </w:rPr>
        <w:t>F</w:t>
      </w:r>
      <w:r>
        <w:rPr>
          <w:rFonts w:cs="Times New Roman"/>
          <w:sz w:val="24"/>
        </w:rPr>
        <w:t xml:space="preserve">ood Nutrition, </w:t>
      </w:r>
      <w:r>
        <w:rPr>
          <w:rFonts w:hint="eastAsia" w:cs="Times New Roman"/>
          <w:sz w:val="24"/>
        </w:rPr>
        <w:t>Modern food detection technology</w:t>
      </w:r>
      <w:r>
        <w:rPr>
          <w:rFonts w:hint="eastAsia" w:cs="Times New Roman"/>
          <w:sz w:val="24"/>
          <w:lang w:val="en-US" w:eastAsia="zh-CN"/>
        </w:rPr>
        <w:t xml:space="preserve">, Food processing machinery and equipment, </w:t>
      </w:r>
      <w:r>
        <w:rPr>
          <w:rFonts w:cs="Times New Roman"/>
          <w:sz w:val="24"/>
        </w:rPr>
        <w:t>and</w:t>
      </w:r>
      <w:r>
        <w:rPr>
          <w:rFonts w:hint="eastAsia" w:cs="Times New Roman"/>
          <w:sz w:val="24"/>
        </w:rPr>
        <w:t xml:space="preserve"> F</w:t>
      </w:r>
      <w:r>
        <w:rPr>
          <w:rFonts w:cs="Times New Roman"/>
          <w:sz w:val="24"/>
        </w:rPr>
        <w:t xml:space="preserve">ood </w:t>
      </w:r>
      <w:r>
        <w:rPr>
          <w:rFonts w:hint="eastAsia" w:cs="Times New Roman"/>
          <w:sz w:val="24"/>
        </w:rPr>
        <w:t>F</w:t>
      </w:r>
      <w:r>
        <w:rPr>
          <w:rFonts w:cs="Times New Roman"/>
          <w:sz w:val="24"/>
        </w:rPr>
        <w:t xml:space="preserve">actory </w:t>
      </w:r>
      <w:r>
        <w:rPr>
          <w:rFonts w:hint="eastAsia" w:cs="Times New Roman"/>
          <w:sz w:val="24"/>
        </w:rPr>
        <w:t>D</w:t>
      </w:r>
      <w:r>
        <w:rPr>
          <w:rFonts w:cs="Times New Roman"/>
          <w:sz w:val="24"/>
        </w:rPr>
        <w:t>esign</w:t>
      </w:r>
      <w:r>
        <w:rPr>
          <w:rFonts w:hint="eastAsia" w:cs="Times New Roman"/>
          <w:sz w:val="24"/>
        </w:rPr>
        <w:t>.</w:t>
      </w:r>
    </w:p>
    <w:p>
      <w:pPr>
        <w:adjustRightInd w:val="0"/>
        <w:spacing w:line="360" w:lineRule="auto"/>
        <w:ind w:firstLine="420" w:firstLineChars="200"/>
        <w:jc w:val="center"/>
        <w:rPr>
          <w:bCs/>
          <w:szCs w:val="21"/>
        </w:rPr>
      </w:pPr>
      <w:r>
        <w:rPr>
          <w:rFonts w:hint="eastAsia"/>
          <w:bCs/>
          <w:szCs w:val="21"/>
        </w:rPr>
        <w:t>食品药化类专业课程体系学分分布表</w:t>
      </w:r>
    </w:p>
    <w:tbl>
      <w:tblPr>
        <w:tblStyle w:val="7"/>
        <w:tblW w:w="8076" w:type="dxa"/>
        <w:jc w:val="center"/>
        <w:tblLayout w:type="fixed"/>
        <w:tblCellMar>
          <w:top w:w="0" w:type="dxa"/>
          <w:left w:w="108" w:type="dxa"/>
          <w:bottom w:w="0" w:type="dxa"/>
          <w:right w:w="108" w:type="dxa"/>
        </w:tblCellMar>
      </w:tblPr>
      <w:tblGrid>
        <w:gridCol w:w="1236"/>
        <w:gridCol w:w="1241"/>
        <w:gridCol w:w="1309"/>
        <w:gridCol w:w="2164"/>
        <w:gridCol w:w="2126"/>
      </w:tblGrid>
      <w:tr>
        <w:tblPrEx>
          <w:tblCellMar>
            <w:top w:w="0" w:type="dxa"/>
            <w:left w:w="108" w:type="dxa"/>
            <w:bottom w:w="0" w:type="dxa"/>
            <w:right w:w="108" w:type="dxa"/>
          </w:tblCellMar>
        </w:tblPrEx>
        <w:trPr>
          <w:trHeight w:val="270" w:hRule="atLeast"/>
          <w:jc w:val="center"/>
        </w:trPr>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课程类别</w:t>
            </w: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课程性质</w:t>
            </w:r>
          </w:p>
        </w:tc>
        <w:tc>
          <w:tcPr>
            <w:tcW w:w="130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药学</w:t>
            </w:r>
          </w:p>
        </w:tc>
        <w:tc>
          <w:tcPr>
            <w:tcW w:w="216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食品科学与工程</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化学工程与工艺</w:t>
            </w:r>
          </w:p>
        </w:tc>
      </w:tr>
      <w:tr>
        <w:tblPrEx>
          <w:tblCellMar>
            <w:top w:w="0" w:type="dxa"/>
            <w:left w:w="108" w:type="dxa"/>
            <w:bottom w:w="0" w:type="dxa"/>
            <w:right w:w="108" w:type="dxa"/>
          </w:tblCellMar>
        </w:tblPrEx>
        <w:trPr>
          <w:trHeight w:val="2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通识教育</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55.5</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55.5</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55.5</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4</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4</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4</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59.5</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59.5</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59.5</w:t>
            </w:r>
          </w:p>
        </w:tc>
      </w:tr>
      <w:tr>
        <w:tblPrEx>
          <w:tblCellMar>
            <w:top w:w="0" w:type="dxa"/>
            <w:left w:w="108" w:type="dxa"/>
            <w:bottom w:w="0" w:type="dxa"/>
            <w:right w:w="108" w:type="dxa"/>
          </w:tblCellMar>
        </w:tblPrEx>
        <w:trPr>
          <w:trHeight w:val="2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大类基础</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30</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30</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30</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10</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10</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10</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40</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40</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40</w:t>
            </w:r>
          </w:p>
        </w:tc>
      </w:tr>
      <w:tr>
        <w:tblPrEx>
          <w:tblCellMar>
            <w:top w:w="0" w:type="dxa"/>
            <w:left w:w="108" w:type="dxa"/>
            <w:bottom w:w="0" w:type="dxa"/>
            <w:right w:w="108" w:type="dxa"/>
          </w:tblCellMar>
        </w:tblPrEx>
        <w:trPr>
          <w:trHeight w:val="2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专业课程</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25</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17.5</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20</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5</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4</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9</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30</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21.5</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29</w:t>
            </w:r>
          </w:p>
        </w:tc>
      </w:tr>
      <w:tr>
        <w:tblPrEx>
          <w:tblCellMar>
            <w:top w:w="0" w:type="dxa"/>
            <w:left w:w="108" w:type="dxa"/>
            <w:bottom w:w="0" w:type="dxa"/>
            <w:right w:w="108" w:type="dxa"/>
          </w:tblCellMar>
        </w:tblPrEx>
        <w:trPr>
          <w:trHeight w:val="2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自主研学</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0</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0</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0</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16</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16</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16</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16</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16</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kern w:val="0"/>
                <w:szCs w:val="21"/>
                <w:lang w:bidi="ar-SA"/>
              </w:rPr>
            </w:pPr>
            <w:r>
              <w:rPr>
                <w:rFonts w:cs="Times New Roman"/>
                <w:kern w:val="0"/>
                <w:szCs w:val="21"/>
                <w:lang w:bidi="ar-SA"/>
              </w:rPr>
              <w:t>16</w:t>
            </w:r>
          </w:p>
        </w:tc>
      </w:tr>
      <w:tr>
        <w:tblPrEx>
          <w:tblCellMar>
            <w:top w:w="0" w:type="dxa"/>
            <w:left w:w="108" w:type="dxa"/>
            <w:bottom w:w="0" w:type="dxa"/>
            <w:right w:w="108" w:type="dxa"/>
          </w:tblCellMar>
        </w:tblPrEx>
        <w:trPr>
          <w:trHeight w:val="2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素质拓展</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6</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6</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6</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0</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0</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0</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6</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6</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Times New Roman"/>
                <w:color w:val="000000"/>
                <w:kern w:val="0"/>
                <w:szCs w:val="21"/>
                <w:lang w:bidi="ar-SA"/>
              </w:rPr>
            </w:pPr>
            <w:r>
              <w:rPr>
                <w:rFonts w:cs="Times New Roman"/>
                <w:color w:val="000000"/>
                <w:kern w:val="0"/>
                <w:szCs w:val="21"/>
                <w:lang w:bidi="ar-SA"/>
              </w:rPr>
              <w:t>6</w:t>
            </w:r>
          </w:p>
        </w:tc>
      </w:tr>
      <w:tr>
        <w:tblPrEx>
          <w:tblCellMar>
            <w:top w:w="0" w:type="dxa"/>
            <w:left w:w="108" w:type="dxa"/>
            <w:bottom w:w="0" w:type="dxa"/>
            <w:right w:w="108" w:type="dxa"/>
          </w:tblCellMar>
        </w:tblPrEx>
        <w:trPr>
          <w:trHeight w:val="2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实践环节</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3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eastAsia="黑体" w:cs="Times New Roman"/>
                <w:kern w:val="0"/>
                <w:szCs w:val="21"/>
                <w:lang w:bidi="ar-SA"/>
              </w:rPr>
            </w:pPr>
            <w:r>
              <w:rPr>
                <w:rFonts w:eastAsia="黑体" w:cs="Times New Roman"/>
                <w:kern w:val="0"/>
                <w:szCs w:val="21"/>
                <w:lang w:bidi="ar-SA"/>
              </w:rPr>
              <w:t>25.5</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eastAsia="黑体" w:cs="Times New Roman"/>
                <w:kern w:val="0"/>
                <w:szCs w:val="21"/>
                <w:lang w:bidi="ar-SA"/>
              </w:rPr>
            </w:pPr>
            <w:r>
              <w:rPr>
                <w:rFonts w:eastAsia="黑体" w:cs="Times New Roman"/>
                <w:kern w:val="0"/>
                <w:szCs w:val="21"/>
                <w:lang w:bidi="ar-SA"/>
              </w:rPr>
              <w:t>34</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eastAsia="黑体" w:cs="Times New Roman"/>
                <w:kern w:val="0"/>
                <w:szCs w:val="21"/>
                <w:lang w:bidi="ar-SA"/>
              </w:rPr>
            </w:pPr>
            <w:r>
              <w:rPr>
                <w:rFonts w:eastAsia="黑体" w:cs="Times New Roman"/>
                <w:kern w:val="0"/>
                <w:szCs w:val="21"/>
                <w:lang w:bidi="ar-SA"/>
              </w:rPr>
              <w:t>26.5</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30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Times New Roman"/>
                <w:kern w:val="0"/>
                <w:szCs w:val="21"/>
                <w:lang w:bidi="ar-SA"/>
              </w:rPr>
            </w:pPr>
            <w:r>
              <w:rPr>
                <w:rFonts w:cs="Times New Roman"/>
                <w:kern w:val="0"/>
                <w:szCs w:val="21"/>
                <w:lang w:bidi="ar-SA"/>
              </w:rPr>
              <w:t>0</w:t>
            </w:r>
          </w:p>
        </w:tc>
        <w:tc>
          <w:tcPr>
            <w:tcW w:w="21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Times New Roman"/>
                <w:kern w:val="0"/>
                <w:szCs w:val="21"/>
                <w:lang w:bidi="ar-SA"/>
              </w:rPr>
            </w:pPr>
            <w:r>
              <w:rPr>
                <w:rFonts w:cs="Times New Roman"/>
                <w:kern w:val="0"/>
                <w:szCs w:val="21"/>
                <w:lang w:bidi="ar-SA"/>
              </w:rPr>
              <w:t>0</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Times New Roman"/>
                <w:kern w:val="0"/>
                <w:szCs w:val="21"/>
                <w:lang w:bidi="ar-SA"/>
              </w:rPr>
            </w:pPr>
            <w:r>
              <w:rPr>
                <w:rFonts w:cs="Times New Roman"/>
                <w:kern w:val="0"/>
                <w:szCs w:val="21"/>
                <w:lang w:bidi="ar-SA"/>
              </w:rPr>
              <w:t>0</w:t>
            </w:r>
          </w:p>
        </w:tc>
      </w:tr>
      <w:tr>
        <w:tblPrEx>
          <w:tblCellMar>
            <w:top w:w="0" w:type="dxa"/>
            <w:left w:w="108" w:type="dxa"/>
            <w:bottom w:w="0" w:type="dxa"/>
            <w:right w:w="108" w:type="dxa"/>
          </w:tblCellMar>
        </w:tblPrEx>
        <w:trPr>
          <w:trHeight w:val="2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30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Times New Roman"/>
                <w:kern w:val="0"/>
                <w:szCs w:val="21"/>
                <w:lang w:bidi="ar-SA"/>
              </w:rPr>
            </w:pPr>
            <w:r>
              <w:rPr>
                <w:rFonts w:cs="Times New Roman"/>
                <w:kern w:val="0"/>
                <w:szCs w:val="21"/>
                <w:lang w:bidi="ar-SA"/>
              </w:rPr>
              <w:t>25.5</w:t>
            </w:r>
          </w:p>
        </w:tc>
        <w:tc>
          <w:tcPr>
            <w:tcW w:w="21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eastAsia="黑体" w:cs="Times New Roman"/>
                <w:kern w:val="0"/>
                <w:szCs w:val="21"/>
                <w:lang w:bidi="ar-SA"/>
              </w:rPr>
            </w:pPr>
            <w:r>
              <w:rPr>
                <w:rFonts w:eastAsia="黑体" w:cs="Times New Roman"/>
                <w:kern w:val="0"/>
                <w:szCs w:val="21"/>
                <w:lang w:bidi="ar-SA"/>
              </w:rPr>
              <w:t>34</w:t>
            </w:r>
          </w:p>
        </w:tc>
        <w:tc>
          <w:tcPr>
            <w:tcW w:w="212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eastAsia="黑体" w:cs="Times New Roman"/>
                <w:kern w:val="0"/>
                <w:szCs w:val="21"/>
                <w:lang w:bidi="ar-SA"/>
              </w:rPr>
            </w:pPr>
            <w:r>
              <w:rPr>
                <w:rFonts w:eastAsia="黑体" w:cs="Times New Roman"/>
                <w:kern w:val="0"/>
                <w:szCs w:val="21"/>
                <w:lang w:bidi="ar-SA"/>
              </w:rPr>
              <w:t>26.5</w:t>
            </w:r>
          </w:p>
        </w:tc>
      </w:tr>
      <w:tr>
        <w:tblPrEx>
          <w:tblCellMar>
            <w:top w:w="0" w:type="dxa"/>
            <w:left w:w="108" w:type="dxa"/>
            <w:bottom w:w="0" w:type="dxa"/>
            <w:right w:w="108" w:type="dxa"/>
          </w:tblCellMar>
        </w:tblPrEx>
        <w:trPr>
          <w:trHeight w:val="270" w:hRule="atLeast"/>
          <w:jc w:val="center"/>
        </w:trPr>
        <w:tc>
          <w:tcPr>
            <w:tcW w:w="2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总学分</w:t>
            </w:r>
          </w:p>
        </w:tc>
        <w:tc>
          <w:tcPr>
            <w:tcW w:w="130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Times New Roman"/>
                <w:kern w:val="0"/>
                <w:szCs w:val="21"/>
                <w:lang w:bidi="ar-SA"/>
              </w:rPr>
            </w:pPr>
            <w:r>
              <w:rPr>
                <w:rFonts w:cs="Times New Roman"/>
                <w:kern w:val="0"/>
                <w:szCs w:val="21"/>
                <w:lang w:bidi="ar-SA"/>
              </w:rPr>
              <w:t>177</w:t>
            </w:r>
          </w:p>
        </w:tc>
        <w:tc>
          <w:tcPr>
            <w:tcW w:w="21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Times New Roman"/>
                <w:kern w:val="0"/>
                <w:szCs w:val="21"/>
                <w:lang w:bidi="ar-SA"/>
              </w:rPr>
            </w:pPr>
            <w:r>
              <w:rPr>
                <w:rFonts w:cs="Times New Roman"/>
                <w:kern w:val="0"/>
                <w:szCs w:val="21"/>
                <w:lang w:bidi="ar-SA"/>
              </w:rPr>
              <w:t>177</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Times New Roman"/>
                <w:kern w:val="0"/>
                <w:szCs w:val="21"/>
                <w:lang w:bidi="ar-SA"/>
              </w:rPr>
            </w:pPr>
            <w:r>
              <w:rPr>
                <w:rFonts w:cs="Times New Roman"/>
                <w:kern w:val="0"/>
                <w:szCs w:val="21"/>
                <w:lang w:bidi="ar-SA"/>
              </w:rPr>
              <w:t>177</w:t>
            </w:r>
          </w:p>
        </w:tc>
      </w:tr>
    </w:tbl>
    <w:p>
      <w:pPr>
        <w:autoSpaceDE w:val="0"/>
        <w:autoSpaceDN w:val="0"/>
        <w:adjustRightInd w:val="0"/>
        <w:spacing w:line="360" w:lineRule="auto"/>
        <w:jc w:val="left"/>
        <w:rPr>
          <w:rFonts w:ascii="宋体" w:hAnsi="宋体" w:cs="宋体"/>
          <w:b/>
          <w:bCs/>
          <w:kern w:val="0"/>
          <w:sz w:val="24"/>
        </w:rPr>
      </w:pPr>
    </w:p>
    <w:p>
      <w:pPr>
        <w:adjustRightInd w:val="0"/>
        <w:spacing w:line="360" w:lineRule="auto"/>
        <w:ind w:firstLine="480" w:firstLineChars="200"/>
        <w:rPr>
          <w:bCs/>
          <w:sz w:val="24"/>
        </w:rPr>
      </w:pPr>
      <w:r>
        <w:rPr>
          <w:rFonts w:hint="eastAsia"/>
          <w:bCs/>
          <w:sz w:val="24"/>
        </w:rPr>
        <w:t>2.</w:t>
      </w:r>
      <w:r>
        <w:rPr>
          <w:bCs/>
          <w:sz w:val="24"/>
        </w:rPr>
        <w:t xml:space="preserve"> </w:t>
      </w:r>
      <w:r>
        <w:rPr>
          <w:rFonts w:hint="eastAsia"/>
          <w:bCs/>
          <w:sz w:val="24"/>
        </w:rPr>
        <w:t>校企合作培养</w:t>
      </w:r>
    </w:p>
    <w:p>
      <w:pPr>
        <w:adjustRightInd w:val="0"/>
        <w:spacing w:line="360" w:lineRule="auto"/>
        <w:ind w:firstLine="480" w:firstLineChars="200"/>
        <w:rPr>
          <w:bCs/>
          <w:sz w:val="24"/>
        </w:rPr>
      </w:pPr>
      <w:r>
        <w:rPr>
          <w:rFonts w:hint="eastAsia"/>
          <w:bCs/>
          <w:sz w:val="24"/>
        </w:rPr>
        <w:t>食品科学与工程专业，已与相关企业建立了校企合作关系，有长期稳定的校外实习基地。实践环节中的相关实习都在实习基地中完成，实习过程由学校带队老师参与，企业专家指导完成，因此，每位学生有接近1年的时间在校外实习和实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bCs/>
          <w:color w:val="auto"/>
          <w:sz w:val="24"/>
        </w:rPr>
      </w:pPr>
      <w:r>
        <w:rPr>
          <w:rFonts w:hint="eastAsia"/>
          <w:bCs/>
          <w:color w:val="auto"/>
          <w:sz w:val="24"/>
          <w:lang w:val="en-US" w:eastAsia="zh-CN"/>
        </w:rPr>
        <w:t xml:space="preserve">The </w:t>
      </w:r>
      <w:r>
        <w:rPr>
          <w:rFonts w:hint="eastAsia"/>
          <w:bCs/>
          <w:color w:val="auto"/>
          <w:sz w:val="24"/>
        </w:rPr>
        <w:t xml:space="preserve">major </w:t>
      </w:r>
      <w:r>
        <w:rPr>
          <w:rFonts w:hint="eastAsia"/>
          <w:bCs/>
          <w:color w:val="auto"/>
          <w:sz w:val="24"/>
          <w:lang w:val="en-US" w:eastAsia="zh-CN"/>
        </w:rPr>
        <w:t xml:space="preserve">of </w:t>
      </w:r>
      <w:r>
        <w:rPr>
          <w:rFonts w:hint="eastAsia"/>
          <w:bCs/>
          <w:color w:val="auto"/>
          <w:sz w:val="24"/>
        </w:rPr>
        <w:t xml:space="preserve">Food </w:t>
      </w:r>
      <w:r>
        <w:rPr>
          <w:rFonts w:hint="eastAsia"/>
          <w:bCs/>
          <w:color w:val="auto"/>
          <w:sz w:val="24"/>
          <w:lang w:val="en-US" w:eastAsia="zh-CN"/>
        </w:rPr>
        <w:t>S</w:t>
      </w:r>
      <w:r>
        <w:rPr>
          <w:rFonts w:hint="eastAsia"/>
          <w:bCs/>
          <w:color w:val="auto"/>
          <w:sz w:val="24"/>
        </w:rPr>
        <w:t xml:space="preserve">cience and </w:t>
      </w:r>
      <w:r>
        <w:rPr>
          <w:rFonts w:hint="eastAsia"/>
          <w:bCs/>
          <w:color w:val="auto"/>
          <w:sz w:val="24"/>
          <w:lang w:val="en-US" w:eastAsia="zh-CN"/>
        </w:rPr>
        <w:t>E</w:t>
      </w:r>
      <w:r>
        <w:rPr>
          <w:rFonts w:hint="eastAsia"/>
          <w:bCs/>
          <w:color w:val="auto"/>
          <w:sz w:val="24"/>
        </w:rPr>
        <w:t xml:space="preserve">ngineering has established a cooperative relationship with relevant enterprises, and has a long-term and stable internship base outside the school. The relevant internships in the practice link </w:t>
      </w:r>
      <w:r>
        <w:rPr>
          <w:rFonts w:hint="eastAsia"/>
          <w:bCs/>
          <w:color w:val="auto"/>
          <w:sz w:val="24"/>
          <w:lang w:val="en-US" w:eastAsia="zh-CN"/>
        </w:rPr>
        <w:t xml:space="preserve">will be </w:t>
      </w:r>
      <w:r>
        <w:rPr>
          <w:rFonts w:hint="eastAsia"/>
          <w:bCs/>
          <w:color w:val="auto"/>
          <w:sz w:val="24"/>
        </w:rPr>
        <w:t xml:space="preserve">completed in the internship base. The practice process is participated by the school leading teachers and guided by the enterprise experts. Therefore, each student </w:t>
      </w:r>
      <w:r>
        <w:rPr>
          <w:rFonts w:hint="eastAsia"/>
          <w:bCs/>
          <w:color w:val="auto"/>
          <w:sz w:val="24"/>
          <w:lang w:val="en-US" w:eastAsia="zh-CN"/>
        </w:rPr>
        <w:t xml:space="preserve">will have </w:t>
      </w:r>
      <w:r>
        <w:rPr>
          <w:rFonts w:hint="eastAsia"/>
          <w:bCs/>
          <w:color w:val="auto"/>
          <w:sz w:val="24"/>
        </w:rPr>
        <w:t>nearly one year of practice outside school.</w:t>
      </w:r>
    </w:p>
    <w:p>
      <w:pPr>
        <w:spacing w:line="360" w:lineRule="auto"/>
        <w:rPr>
          <w:rStyle w:val="16"/>
          <w:rFonts w:ascii="Arial" w:hAnsi="Arial" w:cs="Arial"/>
          <w:bCs w:val="0"/>
          <w:color w:val="000000"/>
          <w:sz w:val="24"/>
          <w:szCs w:val="24"/>
        </w:rPr>
      </w:pPr>
      <w:r>
        <w:rPr>
          <w:rStyle w:val="16"/>
          <w:rFonts w:hint="eastAsia" w:ascii="Arial" w:hAnsi="Arial" w:cs="Arial"/>
          <w:bCs w:val="0"/>
          <w:color w:val="000000"/>
          <w:sz w:val="24"/>
          <w:szCs w:val="24"/>
        </w:rPr>
        <w:t>五、学制与授予学位（Duration and Degree）：</w:t>
      </w:r>
    </w:p>
    <w:p>
      <w:pPr>
        <w:spacing w:line="360" w:lineRule="auto"/>
        <w:ind w:firstLine="480" w:firstLineChars="200"/>
        <w:rPr>
          <w:bCs/>
          <w:sz w:val="24"/>
        </w:rPr>
      </w:pPr>
      <w:r>
        <w:rPr>
          <w:rFonts w:hint="eastAsia"/>
          <w:bCs/>
          <w:sz w:val="24"/>
        </w:rPr>
        <w:t>基本学制四年，弹性学制三至六年，工学学士（食品科学与工程，</w:t>
      </w:r>
      <w:r>
        <w:rPr>
          <w:rStyle w:val="16"/>
          <w:rFonts w:hint="eastAsia" w:ascii="Arial" w:hAnsi="Arial" w:cs="Arial"/>
          <w:b w:val="0"/>
          <w:bCs w:val="0"/>
          <w:color w:val="000000"/>
          <w:sz w:val="24"/>
          <w:szCs w:val="24"/>
        </w:rPr>
        <w:t>化学工程与工艺</w:t>
      </w:r>
      <w:r>
        <w:rPr>
          <w:rFonts w:hint="eastAsia"/>
          <w:bCs/>
          <w:sz w:val="24"/>
        </w:rPr>
        <w:t>），理学学士（药学）。</w:t>
      </w:r>
    </w:p>
    <w:p>
      <w:pPr>
        <w:spacing w:line="360" w:lineRule="auto"/>
        <w:ind w:firstLine="480" w:firstLineChars="200"/>
        <w:rPr>
          <w:rStyle w:val="16"/>
          <w:rFonts w:hint="default" w:ascii="Times New Roman" w:hAnsi="Times New Roman" w:cs="Times New Roman"/>
          <w:b w:val="0"/>
          <w:bCs/>
          <w:color w:val="000000"/>
          <w:sz w:val="24"/>
          <w:szCs w:val="24"/>
        </w:rPr>
      </w:pPr>
      <w:r>
        <w:rPr>
          <w:rStyle w:val="16"/>
          <w:rFonts w:hint="default" w:ascii="Times New Roman" w:hAnsi="Times New Roman" w:cs="Times New Roman"/>
          <w:b w:val="0"/>
          <w:bCs/>
          <w:color w:val="000000"/>
          <w:sz w:val="24"/>
          <w:szCs w:val="24"/>
        </w:rPr>
        <w:t>Four years of basic education, three to six years of flexible education, Bachelor of Engineering (Food Science and engineering, chemical engineering and Technology), Bachelor of Science (Pharmacy).</w:t>
      </w:r>
    </w:p>
    <w:p>
      <w:pPr>
        <w:spacing w:line="360" w:lineRule="auto"/>
        <w:rPr>
          <w:rStyle w:val="16"/>
          <w:rFonts w:ascii="Arial" w:hAnsi="Arial" w:cs="Arial"/>
          <w:bCs w:val="0"/>
          <w:color w:val="000000"/>
          <w:sz w:val="24"/>
          <w:szCs w:val="24"/>
        </w:rPr>
      </w:pPr>
      <w:r>
        <w:rPr>
          <w:rStyle w:val="16"/>
          <w:rFonts w:hint="eastAsia" w:ascii="Arial" w:hAnsi="Arial" w:cs="Arial"/>
          <w:bCs w:val="0"/>
          <w:color w:val="000000"/>
          <w:sz w:val="24"/>
          <w:szCs w:val="24"/>
        </w:rPr>
        <w:t>六、毕业最低学分（</w:t>
      </w:r>
      <w:r>
        <w:rPr>
          <w:rStyle w:val="16"/>
          <w:rFonts w:ascii="Arial" w:hAnsi="Arial" w:cs="Arial"/>
          <w:bCs w:val="0"/>
          <w:color w:val="000000"/>
          <w:sz w:val="24"/>
          <w:szCs w:val="24"/>
        </w:rPr>
        <w:t>Minimum Required Credits</w:t>
      </w:r>
      <w:r>
        <w:rPr>
          <w:rStyle w:val="16"/>
          <w:rFonts w:hint="eastAsia" w:ascii="Arial" w:hAnsi="Arial" w:cs="Arial"/>
          <w:bCs w:val="0"/>
          <w:color w:val="000000"/>
          <w:sz w:val="24"/>
          <w:szCs w:val="24"/>
        </w:rPr>
        <w:t xml:space="preserve"> for Graduation）：</w:t>
      </w:r>
    </w:p>
    <w:p>
      <w:pPr>
        <w:spacing w:line="360" w:lineRule="auto"/>
        <w:ind w:firstLine="480" w:firstLineChars="200"/>
        <w:rPr>
          <w:rStyle w:val="16"/>
          <w:rFonts w:hAnsi="Arial"/>
          <w:b w:val="0"/>
          <w:color w:val="000000"/>
          <w:sz w:val="24"/>
          <w:szCs w:val="24"/>
        </w:rPr>
      </w:pPr>
      <w:r>
        <w:rPr>
          <w:rStyle w:val="16"/>
          <w:rFonts w:hAnsi="Arial"/>
          <w:b w:val="0"/>
          <w:color w:val="000000"/>
          <w:sz w:val="24"/>
          <w:szCs w:val="24"/>
        </w:rPr>
        <w:t>四年制专业最低毕业学分为</w:t>
      </w:r>
      <w:r>
        <w:rPr>
          <w:rStyle w:val="16"/>
          <w:b w:val="0"/>
          <w:color w:val="000000"/>
          <w:sz w:val="24"/>
          <w:szCs w:val="24"/>
        </w:rPr>
        <w:t>1</w:t>
      </w:r>
      <w:r>
        <w:rPr>
          <w:rStyle w:val="16"/>
          <w:rFonts w:hint="eastAsia"/>
          <w:b w:val="0"/>
          <w:color w:val="000000"/>
          <w:sz w:val="24"/>
          <w:szCs w:val="24"/>
        </w:rPr>
        <w:t>7</w:t>
      </w:r>
      <w:r>
        <w:rPr>
          <w:rStyle w:val="16"/>
          <w:b w:val="0"/>
          <w:color w:val="000000"/>
          <w:sz w:val="24"/>
          <w:szCs w:val="24"/>
        </w:rPr>
        <w:t>7</w:t>
      </w:r>
      <w:r>
        <w:rPr>
          <w:rStyle w:val="16"/>
          <w:rFonts w:hAnsi="Arial"/>
          <w:b w:val="0"/>
          <w:color w:val="000000"/>
          <w:sz w:val="24"/>
          <w:szCs w:val="24"/>
        </w:rPr>
        <w:t>学分</w:t>
      </w:r>
      <w:r>
        <w:rPr>
          <w:rStyle w:val="16"/>
          <w:rFonts w:hint="eastAsia" w:hAnsi="Arial"/>
          <w:b w:val="0"/>
          <w:color w:val="000000"/>
          <w:sz w:val="24"/>
          <w:szCs w:val="24"/>
        </w:rPr>
        <w:t>。</w:t>
      </w:r>
    </w:p>
    <w:p>
      <w:pPr>
        <w:spacing w:line="360" w:lineRule="auto"/>
        <w:ind w:firstLine="480" w:firstLineChars="200"/>
        <w:rPr>
          <w:rStyle w:val="16"/>
          <w:b w:val="0"/>
          <w:color w:val="000000"/>
          <w:sz w:val="24"/>
          <w:szCs w:val="24"/>
        </w:rPr>
      </w:pPr>
      <w:r>
        <w:rPr>
          <w:rStyle w:val="16"/>
          <w:rFonts w:hint="eastAsia"/>
          <w:b w:val="0"/>
          <w:color w:val="000000"/>
          <w:sz w:val="24"/>
          <w:szCs w:val="24"/>
        </w:rPr>
        <w:t>The minimum graduation credit of four-year major is 177.</w:t>
      </w:r>
    </w:p>
    <w:p>
      <w:pPr>
        <w:spacing w:line="360" w:lineRule="auto"/>
        <w:rPr>
          <w:rStyle w:val="16"/>
          <w:rFonts w:ascii="Arial" w:hAnsi="Arial" w:cs="Arial"/>
          <w:bCs w:val="0"/>
          <w:color w:val="000000"/>
          <w:sz w:val="24"/>
          <w:szCs w:val="24"/>
        </w:rPr>
      </w:pPr>
      <w:r>
        <w:rPr>
          <w:rStyle w:val="16"/>
          <w:rFonts w:hint="eastAsia" w:ascii="Arial" w:hAnsi="Arial" w:cs="Arial"/>
          <w:bCs w:val="0"/>
          <w:color w:val="000000"/>
          <w:sz w:val="24"/>
          <w:szCs w:val="24"/>
        </w:rPr>
        <w:t>七、课程学分、学时分配表（</w:t>
      </w:r>
      <w:r>
        <w:rPr>
          <w:rStyle w:val="16"/>
          <w:rFonts w:ascii="Arial" w:hAnsi="Arial" w:cs="Arial"/>
          <w:bCs w:val="0"/>
          <w:color w:val="000000"/>
          <w:sz w:val="24"/>
          <w:szCs w:val="24"/>
        </w:rPr>
        <w:t>Distribution</w:t>
      </w:r>
      <w:r>
        <w:rPr>
          <w:rStyle w:val="16"/>
          <w:rFonts w:hint="eastAsia" w:ascii="Arial" w:hAnsi="Arial" w:cs="Arial"/>
          <w:bCs w:val="0"/>
          <w:color w:val="000000"/>
          <w:sz w:val="24"/>
          <w:szCs w:val="24"/>
        </w:rPr>
        <w:t xml:space="preserve"> Sheet for Credits and Hours）：</w:t>
      </w:r>
    </w:p>
    <w:p>
      <w:pPr>
        <w:widowControl/>
        <w:spacing w:line="360" w:lineRule="auto"/>
        <w:jc w:val="left"/>
        <w:rPr>
          <w:rFonts w:ascii="宋体" w:hAnsi="宋体"/>
          <w:b/>
          <w:sz w:val="24"/>
        </w:rPr>
        <w:sectPr>
          <w:pgSz w:w="11906" w:h="16838"/>
          <w:pgMar w:top="1440" w:right="1800" w:bottom="1440" w:left="1800" w:header="851" w:footer="992" w:gutter="0"/>
          <w:cols w:space="425" w:num="1"/>
          <w:docGrid w:type="lines" w:linePitch="312" w:charSpace="0"/>
        </w:sectPr>
      </w:pPr>
    </w:p>
    <w:p>
      <w:pPr>
        <w:tabs>
          <w:tab w:val="left" w:pos="495"/>
        </w:tabs>
        <w:spacing w:line="360" w:lineRule="auto"/>
        <w:rPr>
          <w:rFonts w:ascii="宋体" w:hAnsi="宋体"/>
          <w:b/>
          <w:sz w:val="24"/>
        </w:rPr>
      </w:pPr>
      <w:r>
        <w:rPr>
          <w:rFonts w:hint="eastAsia" w:ascii="宋体" w:cs="宋体"/>
          <w:b/>
          <w:kern w:val="0"/>
          <w:sz w:val="24"/>
        </w:rPr>
        <w:t>课程学分、学时分配表：</w:t>
      </w:r>
    </w:p>
    <w:tbl>
      <w:tblPr>
        <w:tblStyle w:val="7"/>
        <w:tblW w:w="13745" w:type="dxa"/>
        <w:jc w:val="center"/>
        <w:tblLayout w:type="fixed"/>
        <w:tblCellMar>
          <w:top w:w="0" w:type="dxa"/>
          <w:left w:w="108" w:type="dxa"/>
          <w:bottom w:w="0" w:type="dxa"/>
          <w:right w:w="108" w:type="dxa"/>
        </w:tblCellMar>
      </w:tblPr>
      <w:tblGrid>
        <w:gridCol w:w="1236"/>
        <w:gridCol w:w="1241"/>
        <w:gridCol w:w="1266"/>
        <w:gridCol w:w="1266"/>
        <w:gridCol w:w="1266"/>
        <w:gridCol w:w="1266"/>
        <w:gridCol w:w="1266"/>
        <w:gridCol w:w="1266"/>
        <w:gridCol w:w="1266"/>
        <w:gridCol w:w="1266"/>
        <w:gridCol w:w="1140"/>
      </w:tblGrid>
      <w:tr>
        <w:tblPrEx>
          <w:tblCellMar>
            <w:top w:w="0" w:type="dxa"/>
            <w:left w:w="108" w:type="dxa"/>
            <w:bottom w:w="0" w:type="dxa"/>
            <w:right w:w="108" w:type="dxa"/>
          </w:tblCellMar>
        </w:tblPrEx>
        <w:trPr>
          <w:trHeight w:val="170" w:hRule="atLeast"/>
          <w:jc w:val="center"/>
        </w:trPr>
        <w:tc>
          <w:tcPr>
            <w:tcW w:w="12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课程类别</w:t>
            </w:r>
          </w:p>
        </w:tc>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课程性质</w:t>
            </w:r>
          </w:p>
        </w:tc>
        <w:tc>
          <w:tcPr>
            <w:tcW w:w="379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药学</w:t>
            </w:r>
          </w:p>
        </w:tc>
        <w:tc>
          <w:tcPr>
            <w:tcW w:w="379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食品科学与工程</w:t>
            </w:r>
          </w:p>
        </w:tc>
        <w:tc>
          <w:tcPr>
            <w:tcW w:w="367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化学工程与工艺</w:t>
            </w:r>
          </w:p>
        </w:tc>
      </w:tr>
      <w:tr>
        <w:tblPrEx>
          <w:tblCellMar>
            <w:top w:w="0" w:type="dxa"/>
            <w:left w:w="108" w:type="dxa"/>
            <w:bottom w:w="0" w:type="dxa"/>
            <w:right w:w="108" w:type="dxa"/>
          </w:tblCellMar>
        </w:tblPrEx>
        <w:trPr>
          <w:trHeight w:val="468"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学分</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学时</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学分占比</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学分</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学时</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学分占比</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学分</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学时</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学分占比</w:t>
            </w:r>
          </w:p>
        </w:tc>
      </w:tr>
      <w:tr>
        <w:tblPrEx>
          <w:tblCellMar>
            <w:top w:w="0" w:type="dxa"/>
            <w:left w:w="108" w:type="dxa"/>
            <w:bottom w:w="0" w:type="dxa"/>
            <w:right w:w="108" w:type="dxa"/>
          </w:tblCellMar>
        </w:tblPrEx>
        <w:trPr>
          <w:trHeight w:val="468" w:hRule="atLeast"/>
          <w:jc w:val="center"/>
        </w:trPr>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6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14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r>
      <w:tr>
        <w:tblPrEx>
          <w:tblCellMar>
            <w:top w:w="0" w:type="dxa"/>
            <w:left w:w="108" w:type="dxa"/>
            <w:bottom w:w="0" w:type="dxa"/>
            <w:right w:w="108" w:type="dxa"/>
          </w:tblCellMar>
        </w:tblPrEx>
        <w:trPr>
          <w:trHeight w:val="1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通识教育</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55.5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1176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31%</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55.5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1176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31%</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55.5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1176</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31%</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2%</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2%</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96</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2%</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59.5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1272</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59.5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1272</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59.5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1272</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34%</w:t>
            </w:r>
          </w:p>
        </w:tc>
      </w:tr>
      <w:tr>
        <w:tblPrEx>
          <w:tblCellMar>
            <w:top w:w="0" w:type="dxa"/>
            <w:left w:w="108" w:type="dxa"/>
            <w:bottom w:w="0" w:type="dxa"/>
            <w:right w:w="108" w:type="dxa"/>
          </w:tblCellMar>
        </w:tblPrEx>
        <w:trPr>
          <w:trHeight w:val="1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大类基础</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30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560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17%</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30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560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17%</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30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560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17%</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160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160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160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6%</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40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720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23%</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40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720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23%</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40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720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23%</w:t>
            </w:r>
          </w:p>
        </w:tc>
      </w:tr>
      <w:tr>
        <w:tblPrEx>
          <w:tblCellMar>
            <w:top w:w="0" w:type="dxa"/>
            <w:left w:w="108" w:type="dxa"/>
            <w:bottom w:w="0" w:type="dxa"/>
            <w:right w:w="108" w:type="dxa"/>
          </w:tblCellMar>
        </w:tblPrEx>
        <w:trPr>
          <w:trHeight w:val="1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专业课程</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25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464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17.5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288</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20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362</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11%</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80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64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2%</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144</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5%</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30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544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17%</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21.5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352</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12%</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29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506</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16%</w:t>
            </w:r>
          </w:p>
        </w:tc>
      </w:tr>
      <w:tr>
        <w:tblPrEx>
          <w:tblCellMar>
            <w:top w:w="0" w:type="dxa"/>
            <w:left w:w="108" w:type="dxa"/>
            <w:bottom w:w="0" w:type="dxa"/>
            <w:right w:w="108" w:type="dxa"/>
          </w:tblCellMar>
        </w:tblPrEx>
        <w:trPr>
          <w:trHeight w:val="1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自主研学</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16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240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16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240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16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240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16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240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16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240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16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240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9%</w:t>
            </w:r>
          </w:p>
        </w:tc>
      </w:tr>
      <w:tr>
        <w:tblPrEx>
          <w:tblCellMar>
            <w:top w:w="0" w:type="dxa"/>
            <w:left w:w="108" w:type="dxa"/>
            <w:bottom w:w="0" w:type="dxa"/>
            <w:right w:w="108" w:type="dxa"/>
          </w:tblCellMar>
        </w:tblPrEx>
        <w:trPr>
          <w:trHeight w:val="1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素质拓展</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color w:val="000000"/>
                <w:szCs w:val="21"/>
              </w:rPr>
            </w:pPr>
            <w:r>
              <w:rPr>
                <w:rFonts w:hint="eastAsia"/>
                <w:color w:val="000000"/>
                <w:szCs w:val="21"/>
              </w:rPr>
              <w:t>/</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3%</w:t>
            </w:r>
          </w:p>
        </w:tc>
      </w:tr>
      <w:tr>
        <w:tblPrEx>
          <w:tblCellMar>
            <w:top w:w="0" w:type="dxa"/>
            <w:left w:w="108" w:type="dxa"/>
            <w:bottom w:w="0" w:type="dxa"/>
            <w:right w:w="108" w:type="dxa"/>
          </w:tblCellMar>
        </w:tblPrEx>
        <w:trPr>
          <w:trHeight w:val="170" w:hRule="atLeast"/>
          <w:jc w:val="center"/>
        </w:trPr>
        <w:tc>
          <w:tcPr>
            <w:tcW w:w="12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实践环节</w:t>
            </w: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必修</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25.5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29.5周</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34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36周</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26.5</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27周</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15%</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选修</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cs="Times New Roman"/>
                <w:color w:val="000000"/>
                <w:szCs w:val="21"/>
              </w:rPr>
            </w:pPr>
            <w:r>
              <w:rPr>
                <w:rFonts w:cs="Times New Roman"/>
                <w:color w:val="000000"/>
                <w:szCs w:val="21"/>
              </w:rPr>
              <w:t>0%</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0</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0</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0%</w:t>
            </w:r>
          </w:p>
        </w:tc>
      </w:tr>
      <w:tr>
        <w:tblPrEx>
          <w:tblCellMar>
            <w:top w:w="0" w:type="dxa"/>
            <w:left w:w="108" w:type="dxa"/>
            <w:bottom w:w="0" w:type="dxa"/>
            <w:right w:w="108" w:type="dxa"/>
          </w:tblCellMar>
        </w:tblPrEx>
        <w:trPr>
          <w:trHeight w:val="170" w:hRule="atLeast"/>
          <w:jc w:val="center"/>
        </w:trPr>
        <w:tc>
          <w:tcPr>
            <w:tcW w:w="12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黑体" w:hAnsi="黑体" w:eastAsia="黑体" w:cs="宋体"/>
                <w:kern w:val="0"/>
                <w:szCs w:val="21"/>
                <w:lang w:bidi="ar-SA"/>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小计</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25.5</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29.5周</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34</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36周</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19%</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26</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黑体" w:hAnsi="黑体" w:eastAsia="黑体" w:cs="宋体"/>
                <w:szCs w:val="21"/>
              </w:rPr>
            </w:pPr>
            <w:r>
              <w:rPr>
                <w:rFonts w:hint="eastAsia" w:ascii="黑体" w:hAnsi="黑体" w:eastAsia="黑体"/>
                <w:szCs w:val="21"/>
              </w:rPr>
              <w:t>27周</w:t>
            </w: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15%</w:t>
            </w:r>
          </w:p>
        </w:tc>
      </w:tr>
      <w:tr>
        <w:tblPrEx>
          <w:tblCellMar>
            <w:top w:w="0" w:type="dxa"/>
            <w:left w:w="108" w:type="dxa"/>
            <w:bottom w:w="0" w:type="dxa"/>
            <w:right w:w="108" w:type="dxa"/>
          </w:tblCellMar>
        </w:tblPrEx>
        <w:trPr>
          <w:trHeight w:val="170" w:hRule="atLeast"/>
          <w:jc w:val="center"/>
        </w:trPr>
        <w:tc>
          <w:tcPr>
            <w:tcW w:w="2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黑体" w:hAnsi="黑体" w:eastAsia="黑体" w:cs="宋体"/>
                <w:kern w:val="0"/>
                <w:szCs w:val="21"/>
                <w:lang w:bidi="ar-SA"/>
              </w:rPr>
            </w:pPr>
            <w:r>
              <w:rPr>
                <w:rFonts w:hint="eastAsia" w:ascii="黑体" w:hAnsi="黑体" w:eastAsia="黑体" w:cs="宋体"/>
                <w:kern w:val="0"/>
                <w:szCs w:val="21"/>
                <w:lang w:bidi="ar-SA"/>
              </w:rPr>
              <w:t>总学分</w:t>
            </w:r>
          </w:p>
        </w:tc>
        <w:tc>
          <w:tcPr>
            <w:tcW w:w="126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lang w:bidi="ar-SA"/>
              </w:rPr>
            </w:pPr>
            <w:r>
              <w:rPr>
                <w:rFonts w:hint="eastAsia" w:ascii="宋体" w:hAnsi="宋体" w:cs="宋体"/>
                <w:kern w:val="0"/>
                <w:szCs w:val="21"/>
                <w:lang w:bidi="ar-SA"/>
              </w:rPr>
              <w:t>177</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cs="Times New Roman"/>
                <w:color w:val="000000"/>
                <w:szCs w:val="21"/>
              </w:rPr>
            </w:pPr>
            <w:r>
              <w:rPr>
                <w:rFonts w:cs="Times New Roman"/>
                <w:color w:val="000000"/>
                <w:szCs w:val="21"/>
              </w:rPr>
              <w:t>100%</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177</w:t>
            </w:r>
          </w:p>
        </w:tc>
        <w:tc>
          <w:tcPr>
            <w:tcW w:w="126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cs="Times New Roman"/>
                <w:color w:val="000000"/>
                <w:szCs w:val="21"/>
              </w:rPr>
            </w:pPr>
            <w:r>
              <w:rPr>
                <w:rFonts w:cs="Times New Roman"/>
                <w:color w:val="000000"/>
                <w:szCs w:val="21"/>
              </w:rPr>
              <w:t>100%</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r>
              <w:rPr>
                <w:rFonts w:hint="eastAsia"/>
                <w:szCs w:val="21"/>
              </w:rPr>
              <w:t>177</w:t>
            </w:r>
          </w:p>
        </w:tc>
        <w:tc>
          <w:tcPr>
            <w:tcW w:w="1266"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szCs w:val="21"/>
              </w:rPr>
            </w:pPr>
          </w:p>
        </w:tc>
        <w:tc>
          <w:tcPr>
            <w:tcW w:w="1140"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cs="宋体"/>
                <w:szCs w:val="21"/>
              </w:rPr>
            </w:pPr>
            <w:r>
              <w:rPr>
                <w:rFonts w:cs="Times New Roman"/>
                <w:color w:val="000000"/>
                <w:szCs w:val="21"/>
              </w:rPr>
              <w:t>100%</w:t>
            </w:r>
            <w:r>
              <w:rPr>
                <w:rFonts w:hint="eastAsia"/>
                <w:szCs w:val="21"/>
              </w:rPr>
              <w:t>　</w:t>
            </w:r>
          </w:p>
        </w:tc>
      </w:tr>
    </w:tbl>
    <w:p>
      <w:pPr>
        <w:autoSpaceDE w:val="0"/>
        <w:autoSpaceDN w:val="0"/>
        <w:adjustRightInd w:val="0"/>
        <w:spacing w:line="360" w:lineRule="auto"/>
        <w:jc w:val="left"/>
        <w:rPr>
          <w:rFonts w:ascii="宋体" w:hAnsi="宋体"/>
          <w:b/>
          <w:sz w:val="24"/>
        </w:rPr>
      </w:pPr>
    </w:p>
    <w:p>
      <w:pPr>
        <w:autoSpaceDE w:val="0"/>
        <w:autoSpaceDN w:val="0"/>
        <w:adjustRightInd w:val="0"/>
        <w:jc w:val="left"/>
        <w:rPr>
          <w:rFonts w:ascii="宋体" w:hAnsi="宋体"/>
          <w:b/>
          <w:szCs w:val="21"/>
        </w:rPr>
      </w:pPr>
    </w:p>
    <w:p>
      <w:pPr>
        <w:autoSpaceDE w:val="0"/>
        <w:autoSpaceDN w:val="0"/>
        <w:adjustRightInd w:val="0"/>
        <w:jc w:val="left"/>
        <w:rPr>
          <w:rFonts w:ascii="宋体" w:hAnsi="宋体"/>
          <w:b/>
          <w:szCs w:val="21"/>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Style w:val="16"/>
          <w:rFonts w:ascii="Arial" w:hAnsi="Arial" w:cs="Arial"/>
          <w:bCs w:val="0"/>
          <w:color w:val="000000"/>
          <w:sz w:val="24"/>
        </w:rPr>
      </w:pPr>
    </w:p>
    <w:p>
      <w:pPr>
        <w:spacing w:line="400" w:lineRule="exact"/>
        <w:rPr>
          <w:rFonts w:ascii="Arial" w:hAnsi="Arial" w:cs="Arial"/>
          <w:b/>
          <w:color w:val="000000"/>
          <w:sz w:val="24"/>
          <w:szCs w:val="21"/>
        </w:rPr>
      </w:pPr>
      <w:r>
        <w:rPr>
          <w:rStyle w:val="16"/>
          <w:rFonts w:hint="eastAsia" w:ascii="Arial" w:hAnsi="Arial" w:cs="Arial"/>
          <w:bCs w:val="0"/>
          <w:color w:val="000000"/>
          <w:sz w:val="24"/>
        </w:rPr>
        <w:t>八、课程体系逻辑关系图</w:t>
      </w:r>
    </w:p>
    <w:p>
      <w:pPr>
        <w:autoSpaceDE w:val="0"/>
        <w:autoSpaceDN w:val="0"/>
        <w:adjustRightInd w:val="0"/>
        <w:jc w:val="left"/>
        <w:rPr>
          <w:rFonts w:ascii="宋体" w:hAnsi="宋体"/>
          <w:b/>
          <w:szCs w:val="21"/>
        </w:rPr>
        <w:sectPr>
          <w:pgSz w:w="16838" w:h="11906" w:orient="landscape"/>
          <w:pgMar w:top="1440" w:right="1800" w:bottom="1440" w:left="1800" w:header="851" w:footer="992" w:gutter="0"/>
          <w:cols w:space="425" w:num="1"/>
          <w:docGrid w:type="lines" w:linePitch="312" w:charSpace="0"/>
        </w:sectPr>
      </w:pPr>
      <w:r>
        <w:rPr>
          <w:rFonts w:ascii="宋体" w:hAnsi="宋体"/>
          <w:b/>
          <w:szCs w:val="21"/>
          <w:lang w:bidi="ar-SA"/>
        </w:rPr>
        <w:drawing>
          <wp:inline distT="0" distB="0" distL="0" distR="0">
            <wp:extent cx="8452485" cy="5048250"/>
            <wp:effectExtent l="0" t="0" r="5715" b="0"/>
            <wp:docPr id="1" name="图片 1" descr="C:\Users\309\AppData\Local\Temp\WeChat Files\160c5ab8ddfca7180fda55bfddaeb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309\AppData\Local\Temp\WeChat Files\160c5ab8ddfca7180fda55bfddaeb7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463615" cy="5054662"/>
                    </a:xfrm>
                    <a:prstGeom prst="rect">
                      <a:avLst/>
                    </a:prstGeom>
                    <a:noFill/>
                    <a:ln>
                      <a:noFill/>
                    </a:ln>
                  </pic:spPr>
                </pic:pic>
              </a:graphicData>
            </a:graphic>
          </wp:inline>
        </w:drawing>
      </w:r>
    </w:p>
    <w:p>
      <w:pPr>
        <w:widowControl/>
        <w:tabs>
          <w:tab w:val="left" w:pos="8925"/>
        </w:tabs>
        <w:jc w:val="center"/>
        <w:rPr>
          <w:rFonts w:ascii="宋体" w:hAnsi="宋体"/>
          <w:b/>
          <w:szCs w:val="21"/>
        </w:rPr>
      </w:pPr>
      <w:r>
        <w:rPr>
          <w:rFonts w:hint="eastAsia" w:ascii="宋体" w:hAnsi="宋体"/>
          <w:b/>
          <w:szCs w:val="21"/>
        </w:rPr>
        <w:t>药学专业导学图</w:t>
      </w:r>
      <w:r>
        <w:rPr>
          <w:rFonts w:ascii="宋体" w:hAnsi="宋体"/>
          <w:b/>
          <w:szCs w:val="21"/>
          <w:lang w:bidi="ar-SA"/>
        </w:rPr>
        <w:drawing>
          <wp:inline distT="0" distB="0" distL="0" distR="0">
            <wp:extent cx="9777730" cy="62230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7730" cy="6223000"/>
                    </a:xfrm>
                    <a:prstGeom prst="rect">
                      <a:avLst/>
                    </a:prstGeom>
                  </pic:spPr>
                </pic:pic>
              </a:graphicData>
            </a:graphic>
          </wp:inline>
        </w:drawing>
      </w:r>
    </w:p>
    <w:p>
      <w:pPr>
        <w:widowControl/>
        <w:tabs>
          <w:tab w:val="left" w:pos="8925"/>
        </w:tabs>
        <w:jc w:val="center"/>
        <w:rPr>
          <w:rFonts w:ascii="宋体" w:hAnsi="宋体"/>
          <w:b/>
          <w:szCs w:val="21"/>
        </w:rPr>
        <w:sectPr>
          <w:pgSz w:w="16838" w:h="11906" w:orient="landscape"/>
          <w:pgMar w:top="720" w:right="720" w:bottom="720" w:left="720" w:header="851" w:footer="992" w:gutter="0"/>
          <w:cols w:space="425" w:num="1"/>
          <w:docGrid w:type="lines" w:linePitch="312" w:charSpace="0"/>
        </w:sectPr>
      </w:pPr>
    </w:p>
    <w:p>
      <w:pPr>
        <w:autoSpaceDE w:val="0"/>
        <w:autoSpaceDN w:val="0"/>
        <w:adjustRightInd w:val="0"/>
        <w:jc w:val="center"/>
        <w:rPr>
          <w:rFonts w:ascii="宋体" w:hAnsi="宋体"/>
          <w:b/>
          <w:szCs w:val="21"/>
        </w:rPr>
      </w:pPr>
      <w:r>
        <w:rPr>
          <w:rFonts w:hint="eastAsia" w:ascii="宋体" w:hAnsi="宋体"/>
          <w:b/>
          <w:szCs w:val="21"/>
        </w:rPr>
        <w:t>食品科学与工程导学图</w:t>
      </w:r>
    </w:p>
    <w:p>
      <w:pPr>
        <w:tabs>
          <w:tab w:val="left" w:pos="6135"/>
        </w:tabs>
        <w:jc w:val="center"/>
        <w:rPr>
          <w:rFonts w:ascii="宋体" w:hAnsi="宋体"/>
          <w:szCs w:val="21"/>
        </w:rPr>
        <w:sectPr>
          <w:pgSz w:w="16838" w:h="11906" w:orient="landscape"/>
          <w:pgMar w:top="720" w:right="720" w:bottom="720" w:left="720" w:header="851" w:footer="992" w:gutter="0"/>
          <w:cols w:space="425" w:num="1"/>
          <w:docGrid w:type="lines" w:linePitch="312" w:charSpace="0"/>
        </w:sectPr>
      </w:pPr>
      <w:r>
        <w:rPr>
          <w:rFonts w:ascii="宋体" w:hAnsi="宋体"/>
          <w:szCs w:val="21"/>
          <w:lang w:bidi="ar-SA"/>
        </w:rPr>
        <w:drawing>
          <wp:inline distT="0" distB="0" distL="0" distR="0">
            <wp:extent cx="8975725" cy="63360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rcRect l="13541" t="9796" r="14566" b="5138"/>
                    <a:stretch>
                      <a:fillRect/>
                    </a:stretch>
                  </pic:blipFill>
                  <pic:spPr>
                    <a:xfrm>
                      <a:off x="0" y="0"/>
                      <a:ext cx="9019995" cy="6367776"/>
                    </a:xfrm>
                    <a:prstGeom prst="rect">
                      <a:avLst/>
                    </a:prstGeom>
                    <a:ln>
                      <a:noFill/>
                    </a:ln>
                  </pic:spPr>
                </pic:pic>
              </a:graphicData>
            </a:graphic>
          </wp:inline>
        </w:drawing>
      </w:r>
      <w:r>
        <w:rPr>
          <w:rFonts w:ascii="宋体" w:hAnsi="宋体"/>
          <w:szCs w:val="21"/>
        </w:rPr>
        <w:tab/>
      </w:r>
    </w:p>
    <w:p>
      <w:pPr>
        <w:tabs>
          <w:tab w:val="center" w:pos="5233"/>
        </w:tabs>
        <w:jc w:val="center"/>
        <w:rPr>
          <w:rFonts w:ascii="宋体" w:hAnsi="宋体"/>
          <w:b/>
          <w:szCs w:val="21"/>
        </w:rPr>
      </w:pPr>
      <w:r>
        <w:rPr>
          <w:rFonts w:hint="eastAsia" w:ascii="宋体" w:hAnsi="宋体"/>
          <w:b/>
          <w:szCs w:val="21"/>
        </w:rPr>
        <w:t>化学工程与工艺导学图</w:t>
      </w:r>
    </w:p>
    <w:p>
      <w:pPr>
        <w:tabs>
          <w:tab w:val="left" w:pos="1335"/>
        </w:tabs>
        <w:jc w:val="center"/>
        <w:rPr>
          <w:rFonts w:hint="eastAsia" w:ascii="宋体" w:hAnsi="宋体"/>
          <w:szCs w:val="21"/>
        </w:rPr>
        <w:sectPr>
          <w:pgSz w:w="16838" w:h="11906" w:orient="landscape"/>
          <w:pgMar w:top="720" w:right="720" w:bottom="720" w:left="720" w:header="851" w:footer="992" w:gutter="0"/>
          <w:cols w:space="425" w:num="1"/>
          <w:docGrid w:type="lines" w:linePitch="312" w:charSpace="0"/>
        </w:sectPr>
      </w:pPr>
      <w:r>
        <w:rPr>
          <w:rFonts w:ascii="宋体" w:hAnsi="宋体"/>
          <w:szCs w:val="21"/>
          <w:lang w:bidi="ar-SA"/>
        </w:rPr>
        <w:drawing>
          <wp:inline distT="0" distB="0" distL="0" distR="0">
            <wp:extent cx="9227820" cy="63220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rcRect l="12255" t="9909" r="13683" b="5046"/>
                    <a:stretch>
                      <a:fillRect/>
                    </a:stretch>
                  </pic:blipFill>
                  <pic:spPr>
                    <a:xfrm>
                      <a:off x="0" y="0"/>
                      <a:ext cx="9257176" cy="6342269"/>
                    </a:xfrm>
                    <a:prstGeom prst="rect">
                      <a:avLst/>
                    </a:prstGeom>
                    <a:ln>
                      <a:noFill/>
                    </a:ln>
                  </pic:spPr>
                </pic:pic>
              </a:graphicData>
            </a:graphic>
          </wp:inline>
        </w:drawing>
      </w:r>
    </w:p>
    <w:p>
      <w:pPr>
        <w:jc w:val="left"/>
        <w:rPr>
          <w:rFonts w:hint="eastAsia" w:ascii="宋体" w:hAnsi="宋体"/>
          <w:b/>
          <w:szCs w:val="21"/>
        </w:rPr>
        <w:sectPr>
          <w:pgSz w:w="16838" w:h="11906" w:orient="landscape"/>
          <w:pgMar w:top="1440" w:right="1800" w:bottom="1440" w:left="1800" w:header="851" w:footer="992" w:gutter="0"/>
          <w:cols w:space="425" w:num="1"/>
          <w:docGrid w:type="lines" w:linePitch="312" w:charSpace="0"/>
        </w:sectPr>
      </w:pPr>
    </w:p>
    <w:p>
      <w:pPr>
        <w:autoSpaceDE w:val="0"/>
        <w:autoSpaceDN w:val="0"/>
        <w:adjustRightInd w:val="0"/>
        <w:jc w:val="left"/>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TimesNewRomanPS-BoldMT">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467401"/>
    <w:multiLevelType w:val="singleLevel"/>
    <w:tmpl w:val="E94674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MjllZmRhYTExZDFhM2ZiMzEyMDM3ZTE1M2ZjZDgifQ=="/>
  </w:docVars>
  <w:rsids>
    <w:rsidRoot w:val="00B77011"/>
    <w:rsid w:val="00056CC0"/>
    <w:rsid w:val="00061148"/>
    <w:rsid w:val="0006726E"/>
    <w:rsid w:val="000A1802"/>
    <w:rsid w:val="000B0FFE"/>
    <w:rsid w:val="000B4395"/>
    <w:rsid w:val="000E095D"/>
    <w:rsid w:val="000F6E18"/>
    <w:rsid w:val="00144A95"/>
    <w:rsid w:val="001874D4"/>
    <w:rsid w:val="001E176C"/>
    <w:rsid w:val="001F272E"/>
    <w:rsid w:val="00213AC0"/>
    <w:rsid w:val="00216997"/>
    <w:rsid w:val="00220525"/>
    <w:rsid w:val="002357A3"/>
    <w:rsid w:val="0026251F"/>
    <w:rsid w:val="00262BA8"/>
    <w:rsid w:val="002A375C"/>
    <w:rsid w:val="002B3D88"/>
    <w:rsid w:val="002B7812"/>
    <w:rsid w:val="002D6A35"/>
    <w:rsid w:val="002E60D9"/>
    <w:rsid w:val="002E68BF"/>
    <w:rsid w:val="002F1825"/>
    <w:rsid w:val="003141F7"/>
    <w:rsid w:val="00322038"/>
    <w:rsid w:val="00331329"/>
    <w:rsid w:val="00352B4E"/>
    <w:rsid w:val="0042114A"/>
    <w:rsid w:val="004613D0"/>
    <w:rsid w:val="00464A1D"/>
    <w:rsid w:val="00471E38"/>
    <w:rsid w:val="00507A7D"/>
    <w:rsid w:val="00517290"/>
    <w:rsid w:val="0054139B"/>
    <w:rsid w:val="005475AC"/>
    <w:rsid w:val="005A74A2"/>
    <w:rsid w:val="005C77D3"/>
    <w:rsid w:val="005E1412"/>
    <w:rsid w:val="005E3EC0"/>
    <w:rsid w:val="005F1324"/>
    <w:rsid w:val="006320E6"/>
    <w:rsid w:val="00637F90"/>
    <w:rsid w:val="00694EE2"/>
    <w:rsid w:val="006979F8"/>
    <w:rsid w:val="00701149"/>
    <w:rsid w:val="00737342"/>
    <w:rsid w:val="00750387"/>
    <w:rsid w:val="00794904"/>
    <w:rsid w:val="007B7381"/>
    <w:rsid w:val="007D3147"/>
    <w:rsid w:val="007D5907"/>
    <w:rsid w:val="007D5B74"/>
    <w:rsid w:val="007E66F3"/>
    <w:rsid w:val="007F0102"/>
    <w:rsid w:val="007F7B25"/>
    <w:rsid w:val="00860F85"/>
    <w:rsid w:val="008C2E55"/>
    <w:rsid w:val="008D3B3C"/>
    <w:rsid w:val="008D7199"/>
    <w:rsid w:val="008E69A8"/>
    <w:rsid w:val="00911EC8"/>
    <w:rsid w:val="009340E0"/>
    <w:rsid w:val="00954985"/>
    <w:rsid w:val="009A4C92"/>
    <w:rsid w:val="009C60AA"/>
    <w:rsid w:val="009D3DEF"/>
    <w:rsid w:val="009D769D"/>
    <w:rsid w:val="009D7752"/>
    <w:rsid w:val="009E0C6D"/>
    <w:rsid w:val="00A1577E"/>
    <w:rsid w:val="00A26F41"/>
    <w:rsid w:val="00A35243"/>
    <w:rsid w:val="00A87429"/>
    <w:rsid w:val="00AA7DC3"/>
    <w:rsid w:val="00AD38C1"/>
    <w:rsid w:val="00B02A39"/>
    <w:rsid w:val="00B77011"/>
    <w:rsid w:val="00B879D7"/>
    <w:rsid w:val="00BD38A5"/>
    <w:rsid w:val="00BF634B"/>
    <w:rsid w:val="00C1223F"/>
    <w:rsid w:val="00C400F3"/>
    <w:rsid w:val="00C4074C"/>
    <w:rsid w:val="00C422F3"/>
    <w:rsid w:val="00C51360"/>
    <w:rsid w:val="00C814BC"/>
    <w:rsid w:val="00C94356"/>
    <w:rsid w:val="00CD49D4"/>
    <w:rsid w:val="00CF1FB3"/>
    <w:rsid w:val="00CF4297"/>
    <w:rsid w:val="00CF5EB7"/>
    <w:rsid w:val="00D21D48"/>
    <w:rsid w:val="00D445DB"/>
    <w:rsid w:val="00D61CF5"/>
    <w:rsid w:val="00D64E6E"/>
    <w:rsid w:val="00D80158"/>
    <w:rsid w:val="00E01C77"/>
    <w:rsid w:val="00E5487F"/>
    <w:rsid w:val="00E578AC"/>
    <w:rsid w:val="00EA14FD"/>
    <w:rsid w:val="00F013BD"/>
    <w:rsid w:val="00F13D0A"/>
    <w:rsid w:val="00F15E67"/>
    <w:rsid w:val="00F42461"/>
    <w:rsid w:val="00F663FD"/>
    <w:rsid w:val="00F6788B"/>
    <w:rsid w:val="00F73BBB"/>
    <w:rsid w:val="00FD6BAD"/>
    <w:rsid w:val="21AE7196"/>
    <w:rsid w:val="2B0017A8"/>
    <w:rsid w:val="74A13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ngsana New"/>
      <w:kern w:val="2"/>
      <w:sz w:val="21"/>
      <w:szCs w:val="24"/>
      <w:lang w:val="en-US" w:eastAsia="zh-CN" w:bidi="th-TH"/>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22"/>
    </w:rPr>
  </w:style>
  <w:style w:type="paragraph" w:styleId="4">
    <w:name w:val="footer"/>
    <w:basedOn w:val="1"/>
    <w:link w:val="15"/>
    <w:qFormat/>
    <w:uiPriority w:val="0"/>
    <w:pPr>
      <w:tabs>
        <w:tab w:val="center" w:pos="4153"/>
        <w:tab w:val="right" w:pos="8306"/>
      </w:tabs>
      <w:snapToGrid w:val="0"/>
      <w:jc w:val="left"/>
    </w:pPr>
    <w:rPr>
      <w:sz w:val="18"/>
      <w:szCs w:val="22"/>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22"/>
    </w:rPr>
  </w:style>
  <w:style w:type="paragraph" w:styleId="6">
    <w:name w:val="annotation subject"/>
    <w:basedOn w:val="2"/>
    <w:next w:val="2"/>
    <w:link w:val="12"/>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qFormat/>
    <w:uiPriority w:val="0"/>
    <w:rPr>
      <w:sz w:val="21"/>
      <w:szCs w:val="21"/>
    </w:rPr>
  </w:style>
  <w:style w:type="character" w:customStyle="1" w:styleId="11">
    <w:name w:val="批注文字 字符"/>
    <w:link w:val="2"/>
    <w:qFormat/>
    <w:uiPriority w:val="0"/>
    <w:rPr>
      <w:rFonts w:cs="Angsana New"/>
      <w:kern w:val="2"/>
      <w:sz w:val="21"/>
      <w:szCs w:val="24"/>
      <w:lang w:bidi="th-TH"/>
    </w:rPr>
  </w:style>
  <w:style w:type="character" w:customStyle="1" w:styleId="12">
    <w:name w:val="批注主题 字符"/>
    <w:link w:val="6"/>
    <w:qFormat/>
    <w:uiPriority w:val="0"/>
    <w:rPr>
      <w:rFonts w:cs="Angsana New"/>
      <w:b/>
      <w:bCs/>
      <w:kern w:val="2"/>
      <w:sz w:val="21"/>
      <w:szCs w:val="24"/>
      <w:lang w:bidi="th-TH"/>
    </w:rPr>
  </w:style>
  <w:style w:type="character" w:customStyle="1" w:styleId="13">
    <w:name w:val="批注框文本 字符"/>
    <w:link w:val="3"/>
    <w:qFormat/>
    <w:uiPriority w:val="0"/>
    <w:rPr>
      <w:rFonts w:cs="Angsana New"/>
      <w:kern w:val="2"/>
      <w:sz w:val="18"/>
      <w:szCs w:val="22"/>
      <w:lang w:bidi="th-TH"/>
    </w:rPr>
  </w:style>
  <w:style w:type="character" w:customStyle="1" w:styleId="14">
    <w:name w:val="页眉 字符"/>
    <w:link w:val="5"/>
    <w:qFormat/>
    <w:uiPriority w:val="0"/>
    <w:rPr>
      <w:rFonts w:cs="Angsana New"/>
      <w:kern w:val="2"/>
      <w:sz w:val="18"/>
      <w:szCs w:val="22"/>
      <w:lang w:bidi="th-TH"/>
    </w:rPr>
  </w:style>
  <w:style w:type="character" w:customStyle="1" w:styleId="15">
    <w:name w:val="页脚 字符"/>
    <w:link w:val="4"/>
    <w:qFormat/>
    <w:uiPriority w:val="0"/>
    <w:rPr>
      <w:rFonts w:cs="Angsana New"/>
      <w:kern w:val="2"/>
      <w:sz w:val="18"/>
      <w:szCs w:val="22"/>
      <w:lang w:bidi="th-TH"/>
    </w:rPr>
  </w:style>
  <w:style w:type="character" w:customStyle="1" w:styleId="16">
    <w:name w:val="font11"/>
    <w:qFormat/>
    <w:uiPriority w:val="0"/>
    <w:rPr>
      <w:b/>
      <w:bCs/>
      <w:color w:val="00008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tif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3018</Words>
  <Characters>6862</Characters>
  <Lines>51</Lines>
  <Paragraphs>14</Paragraphs>
  <TotalTime>0</TotalTime>
  <ScaleCrop>false</ScaleCrop>
  <LinksUpToDate>false</LinksUpToDate>
  <CharactersWithSpaces>7531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2019-10-30T23:30:00Z</dcterms:created>
  <dc:creator>feng</dc:creator>
  <cp:lastModifiedBy>Administrator</cp:lastModifiedBy>
  <dcterms:modified xsi:type="dcterms:W3CDTF">2023-06-13T10:04:15Z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ACCC18ACA06D40B48E23EBB170FB80F9_13</vt:lpwstr>
  </property>
</Properties>
</file>